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75B" w:rsidRDefault="00B774AD" w:rsidP="00EA71EB">
      <w:pPr>
        <w:pStyle w:val="3"/>
        <w:spacing w:before="0" w:after="0"/>
      </w:pPr>
      <w:r>
        <w:pict>
          <v:shape id="Надпись 2" o:spid="_x0000_s1026" style="position:absolute;margin-left:375.95pt;margin-top:-9.15pt;width:130.35pt;height:22.8pt;z-index:251658240;mso-wrap-style:square;v-text-anchor:top" coordsize="" o:allowincell="f" path="m,l-127,r,-127l,-127xe" stroked="f" strokecolor="#3465a4">
            <v:fill color2="black" o:detectmouseclick="t"/>
          </v:shape>
        </w:pict>
      </w:r>
      <w:r w:rsidR="00602E85">
        <w:rPr>
          <w:rFonts w:ascii="Montserrat" w:hAnsi="Montserrat"/>
          <w:b w:val="0"/>
          <w:sz w:val="16"/>
          <w:szCs w:val="16"/>
        </w:rPr>
        <w:t>17.04.2026</w:t>
      </w:r>
    </w:p>
    <w:p w:rsidR="000C475B" w:rsidRDefault="000C475B" w:rsidP="00EA71EB">
      <w:pPr>
        <w:jc w:val="both"/>
        <w:rPr>
          <w:rFonts w:ascii="Montserrat" w:hAnsi="Montserrat"/>
          <w:b/>
          <w:szCs w:val="28"/>
        </w:rPr>
      </w:pPr>
    </w:p>
    <w:p w:rsidR="000C475B" w:rsidRDefault="00602E85" w:rsidP="004514AC">
      <w:pPr>
        <w:jc w:val="center"/>
        <w:rPr>
          <w:rFonts w:ascii="Montserrat" w:hAnsi="Montserrat"/>
          <w:b/>
        </w:rPr>
      </w:pPr>
      <w:r>
        <w:rPr>
          <w:rFonts w:ascii="Montserrat" w:hAnsi="Montserrat"/>
          <w:b/>
        </w:rPr>
        <w:t>В 2025 году Отделение Социального фонда России по Краснодарскому краю единовременно выплатило пенсионные накопления 6 тысячам жителей Кубани</w:t>
      </w:r>
    </w:p>
    <w:p w:rsidR="000C475B" w:rsidRDefault="000C475B" w:rsidP="00EA71EB">
      <w:pPr>
        <w:jc w:val="both"/>
        <w:rPr>
          <w:rFonts w:ascii="Montserrat" w:hAnsi="Montserrat"/>
          <w:b/>
        </w:rPr>
      </w:pPr>
    </w:p>
    <w:p w:rsidR="000C475B" w:rsidRDefault="00602E85" w:rsidP="00EA71EB">
      <w:pPr>
        <w:jc w:val="both"/>
        <w:rPr>
          <w:rFonts w:ascii="Montserrat" w:hAnsi="Montserrat"/>
        </w:rPr>
      </w:pPr>
      <w:r>
        <w:rPr>
          <w:rFonts w:ascii="Montserrat" w:hAnsi="Montserrat"/>
        </w:rPr>
        <w:t xml:space="preserve">Оформить средства таким образом могут граждане с небольшой суммой пенсионных накоплений или те, у кого недостаточно стажа и индивидуальных пенсионных коэффициентов (ИПК). За прошлый год Отделение Социального фонда России по Краснодарскому краю выплатило </w:t>
      </w:r>
      <w:hyperlink r:id="rId8" w:anchor="container-605aec9c-f073-5243-ad49-a01600e61e49:~:text=%D0%95%D0%B4%D0%B8%D0%BD%D0%BE%D0%B2%D1%80%D0%B5%D0%BC%D0%B5%D0%BD%D0%BD%D0%B0%D1%8F%20%D0%B2%D1%8B%D0%BF%D0%BB%D0%B0%D1%82%D0%B0" w:history="1">
        <w:r>
          <w:rPr>
            <w:rStyle w:val="afc"/>
            <w:rFonts w:ascii="Montserrat" w:hAnsi="Montserrat"/>
          </w:rPr>
          <w:t>единовременную выплату</w:t>
        </w:r>
      </w:hyperlink>
      <w:r>
        <w:rPr>
          <w:rFonts w:ascii="Montserrat" w:hAnsi="Montserrat"/>
        </w:rPr>
        <w:t xml:space="preserve"> более 30 тысячам жителей Кубани. Средний размер выплаты составил около 53 тысяч рублей.</w:t>
      </w:r>
    </w:p>
    <w:p w:rsidR="000C475B" w:rsidRDefault="000C475B" w:rsidP="00EA71EB">
      <w:pPr>
        <w:jc w:val="both"/>
        <w:rPr>
          <w:rFonts w:ascii="Montserrat" w:hAnsi="Montserrat"/>
        </w:rPr>
      </w:pPr>
    </w:p>
    <w:p w:rsidR="000C475B" w:rsidRDefault="00B774AD" w:rsidP="00EA71EB">
      <w:pPr>
        <w:jc w:val="both"/>
        <w:rPr>
          <w:rFonts w:ascii="Montserrat" w:hAnsi="Montserrat"/>
        </w:rPr>
      </w:pPr>
      <w:hyperlink r:id="rId9">
        <w:r w:rsidR="00602E85">
          <w:rPr>
            <w:rStyle w:val="afc"/>
            <w:rFonts w:ascii="Montserrat" w:hAnsi="Montserrat"/>
          </w:rPr>
          <w:t>Накопительная пенсия</w:t>
        </w:r>
      </w:hyperlink>
      <w:r w:rsidR="00602E85">
        <w:rPr>
          <w:rFonts w:ascii="Montserrat" w:hAnsi="Montserrat"/>
        </w:rPr>
        <w:t xml:space="preserve"> назначается пожизненно и выплачивается ежемесячно. Чтобы рассчитать её размер, общую сумму пенсионных накоплений делят на 270 месяцев. </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На единовременную выплату могут претендовать граждане, у которых размер накопительной пенсии составляет 10% или менее от величины прожиточного минимума пенсионера в целом по Российской Федерации (в 2026 году — менее 1 628,80 рубля). Если у гражданина в 2026 году сумма пенсионных накоплений на индивидуальном лицевом счете  439 776 рублей и менее, то он может получить их единовременно.</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В отличие от страховой пенсии, которая назначается только в виде ежемесячных выплат, пенсионные накопления могут быть выплачены единовременно. Сегодня этот способ получения средств является наиболее распространённым: основной поток обращений приходится на жителей Краснодарского края, чьи накопления формировались в течение непродолжительного периода и могут быть выплачены полностью за один раз.</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 xml:space="preserve">По действующим </w:t>
      </w:r>
      <w:hyperlink r:id="rId10">
        <w:r>
          <w:rPr>
            <w:rStyle w:val="afc"/>
            <w:rFonts w:ascii="Montserrat" w:hAnsi="Montserrat"/>
          </w:rPr>
          <w:t>правилам</w:t>
        </w:r>
      </w:hyperlink>
      <w:r>
        <w:rPr>
          <w:rFonts w:ascii="Montserrat" w:hAnsi="Montserrat"/>
        </w:rPr>
        <w:t>, пенсионные накопления оформляются для женщин — с 55 лет, для мужчин — с 60 лет. При наличии права на досрочный выход на пенсию обратиться за накоплениями можно раньше, но для этого требуются необходимые индивидуальные пенсионные коэффициенты (30 ИПК) и стаж (15 лет). Начиная с 55 и 60 лет (для женщин и мужчин соответственно) требования по ИПК и стажу для назначения единовременной выплаты пенсионных накоплений не предъявляются.</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 xml:space="preserve">Получение пенсионных накоплений — заявительная услуга. Оформить её можно на </w:t>
      </w:r>
      <w:hyperlink r:id="rId11">
        <w:r>
          <w:rPr>
            <w:rStyle w:val="afc"/>
            <w:rFonts w:ascii="Montserrat" w:hAnsi="Montserrat"/>
          </w:rPr>
          <w:t>портале госуслуг</w:t>
        </w:r>
      </w:hyperlink>
      <w:r>
        <w:rPr>
          <w:rFonts w:ascii="Montserrat" w:hAnsi="Montserrat"/>
        </w:rPr>
        <w:t xml:space="preserve">, в </w:t>
      </w:r>
      <w:hyperlink r:id="rId12">
        <w:r>
          <w:rPr>
            <w:rStyle w:val="afc"/>
            <w:rFonts w:ascii="Montserrat" w:hAnsi="Montserrat"/>
          </w:rPr>
          <w:t>клиентской службе</w:t>
        </w:r>
      </w:hyperlink>
      <w:r>
        <w:rPr>
          <w:rFonts w:ascii="Montserrat" w:hAnsi="Montserrat"/>
        </w:rPr>
        <w:t xml:space="preserve"> Отделения СФР по Краснодарскому краю или в МФЦ. Если пенсионные накопления формирует негосударственный пенсионный фонд (НПФ), заявление на единовременную выплату (или другой вариант назначения) подаётся непосредственно в НПФ.</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 xml:space="preserve">Единовременная выплата перечисляется в течение </w:t>
      </w:r>
      <w:hyperlink r:id="rId13" w:anchor=":~:text=11.%C2%A0%D0%92%D1%8B%D0%BF%D0%BB%D0%B0%D1%82%D0%B0%20%D0%B7%D0%B0%D1%81%D1%82%D1%80%D0%B0%D1%85%D0%BE%D0%B2%D0%B0%D0%BD%D0%BD%D0%BE%D0%BC%D1%83%20%D0%BB%D0%B8%D1%86%D1%83%20%D1%81%D1%80%D0%B5%D0%B4%D1%81%D1%82%D0%B2%20%D0%BF%D0%B5%D0%BD%D1%81%D0%" w:history="1">
        <w:r>
          <w:rPr>
            <w:rStyle w:val="afc"/>
            <w:rFonts w:ascii="Montserrat" w:hAnsi="Montserrat"/>
          </w:rPr>
          <w:t>двух месяцев</w:t>
        </w:r>
      </w:hyperlink>
      <w:r>
        <w:rPr>
          <w:rFonts w:ascii="Montserrat" w:hAnsi="Montserrat"/>
        </w:rPr>
        <w:t xml:space="preserve"> после принятия решения о назначении средств. Этот срок необходим для процедур, связанных с отзывом накоплений из управляющей компании, где они инвестируются. </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 xml:space="preserve">На пенсионные накопления распространяются правила </w:t>
      </w:r>
      <w:hyperlink r:id="rId14">
        <w:r>
          <w:rPr>
            <w:rStyle w:val="afc"/>
            <w:rFonts w:ascii="Montserrat" w:hAnsi="Montserrat"/>
          </w:rPr>
          <w:t>правопреемства</w:t>
        </w:r>
      </w:hyperlink>
      <w:r>
        <w:rPr>
          <w:rFonts w:ascii="Montserrat" w:hAnsi="Montserrat"/>
        </w:rPr>
        <w:t xml:space="preserve">. В случае смерти гражданина его средства передаются правопреемникам — по заявлению или в порядке очередности, установленной законом. Правопреемники получают всю сумму пенсионных накоплений, если человек при жизни не успел их оформить. После оформления невыплаченный остаток гарантирован только в рамках </w:t>
      </w:r>
      <w:hyperlink r:id="rId15" w:anchor="container-605aec9c-f073-5243-ad49-a01600e61e49:~:text=%D0%A1%D1%80%D0%BE%D1%87%D0%BD%D0%B0%D1%8F%20%D0%BF%D0%B5%D0%BD%D1%81%D0%B8%D0%BE%D0%BD%D0%BD%D0%B0%D1%8F%20%D0%B2%D1%8B%D0%BF%D0%BB%D0%B0%D1%82%D0%B0" w:history="1">
        <w:r>
          <w:rPr>
            <w:rStyle w:val="afc"/>
            <w:rFonts w:ascii="Montserrat" w:hAnsi="Montserrat"/>
          </w:rPr>
          <w:t>срочной пенсионной выплаты накоплений</w:t>
        </w:r>
      </w:hyperlink>
      <w:r>
        <w:rPr>
          <w:rFonts w:ascii="Montserrat" w:hAnsi="Montserrat"/>
        </w:rPr>
        <w:t xml:space="preserve">. </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lastRenderedPageBreak/>
        <w:t>Срочную пенсионную выплату могут получить участники программы софинансирования пенсионных накоплений, родители, направившие средства материнского капитала на накопительную пенсию. Продолжительность выплаты определяет сам гражданин при подаче заявления, но период не может быть меньше 120 месяцев (10 лет).</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Пенсионные накопления формируются у:</w:t>
      </w:r>
    </w:p>
    <w:p w:rsidR="000C475B" w:rsidRDefault="00602E85" w:rsidP="00EA71EB">
      <w:pPr>
        <w:pStyle w:val="afff"/>
        <w:numPr>
          <w:ilvl w:val="0"/>
          <w:numId w:val="1"/>
        </w:numPr>
        <w:spacing w:line="240" w:lineRule="auto"/>
        <w:contextualSpacing w:val="0"/>
        <w:jc w:val="both"/>
        <w:rPr>
          <w:rFonts w:ascii="Montserrat" w:hAnsi="Montserrat"/>
        </w:rPr>
      </w:pPr>
      <w:r>
        <w:rPr>
          <w:rFonts w:ascii="Montserrat" w:hAnsi="Montserrat"/>
        </w:rPr>
        <w:t>мужчин 1953–1966 года рождения и женщин 1957–1966 года рождения, в пользу которых работодатели перечисляли СФР страховые взносы на накопительную часть трудовой пенсии с 2002-го по 2004 год. Отчисления на накопление в пользу этих категорий граждан были прекращены в 2005 году в связи с изменениями в законодательстве;</w:t>
      </w:r>
    </w:p>
    <w:p w:rsidR="000C475B" w:rsidRDefault="00602E85" w:rsidP="00EA71EB">
      <w:pPr>
        <w:pStyle w:val="afff"/>
        <w:numPr>
          <w:ilvl w:val="0"/>
          <w:numId w:val="1"/>
        </w:numPr>
        <w:spacing w:line="240" w:lineRule="auto"/>
        <w:contextualSpacing w:val="0"/>
        <w:jc w:val="both"/>
        <w:rPr>
          <w:rFonts w:ascii="Montserrat" w:hAnsi="Montserrat"/>
        </w:rPr>
      </w:pPr>
      <w:r>
        <w:rPr>
          <w:rFonts w:ascii="Montserrat" w:hAnsi="Montserrat"/>
        </w:rPr>
        <w:t>граждан 1967 года рождения и моложе за счет того, что в 2002–2013 годах работодатели продолжали уплачивать в их пользу обязательные страховые взносы на финансирование накопительной пенсии;</w:t>
      </w:r>
    </w:p>
    <w:p w:rsidR="000C475B" w:rsidRDefault="00602E85" w:rsidP="00EA71EB">
      <w:pPr>
        <w:pStyle w:val="afff"/>
        <w:numPr>
          <w:ilvl w:val="0"/>
          <w:numId w:val="1"/>
        </w:numPr>
        <w:spacing w:line="240" w:lineRule="auto"/>
        <w:contextualSpacing w:val="0"/>
        <w:jc w:val="both"/>
        <w:rPr>
          <w:rFonts w:ascii="Montserrat" w:hAnsi="Montserrat"/>
        </w:rPr>
      </w:pPr>
      <w:r>
        <w:rPr>
          <w:rFonts w:ascii="Montserrat" w:hAnsi="Montserrat"/>
        </w:rPr>
        <w:t>граждан, добровольно вступивших в правоотношения по уплате дополнительных страховых взносов на формирование накопительной пенсии;</w:t>
      </w:r>
    </w:p>
    <w:p w:rsidR="000C475B" w:rsidRDefault="00602E85" w:rsidP="00EA71EB">
      <w:pPr>
        <w:pStyle w:val="afff"/>
        <w:numPr>
          <w:ilvl w:val="0"/>
          <w:numId w:val="1"/>
        </w:numPr>
        <w:spacing w:line="240" w:lineRule="auto"/>
        <w:contextualSpacing w:val="0"/>
        <w:jc w:val="both"/>
        <w:rPr>
          <w:rFonts w:ascii="Montserrat" w:hAnsi="Montserrat"/>
        </w:rPr>
      </w:pPr>
      <w:r>
        <w:rPr>
          <w:rFonts w:ascii="Montserrat" w:hAnsi="Montserrat"/>
        </w:rPr>
        <w:t>граждан, направивших средства (часть средств) материнского капитала на формирование накопительной пенсии.</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Граждане могут узнать размер пенсионных накоплений, заказав выписку из индивидуального лицевого счёта на портале госуслуг или обратиться в клиентскую службу Отделения СФР по Краснодарскому краю.</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 xml:space="preserve">Напомним, что пенсионеры, граждане с инвалидностью и многодетные семьи могут подтверждать право на льготы электронным удостоверением через </w:t>
      </w:r>
      <w:r w:rsidRPr="00EA71EB">
        <w:rPr>
          <w:rFonts w:ascii="Montserrat" w:hAnsi="Montserrat"/>
        </w:rPr>
        <w:t>мессенджер MAX</w:t>
      </w:r>
      <w:r>
        <w:rPr>
          <w:rFonts w:ascii="Montserrat" w:hAnsi="Montserrat"/>
        </w:rPr>
        <w:t>. Цифровой документ может использоваться вместо бумажного удостоверения для подтверждения льгот и получения скидок в магазинах.</w:t>
      </w:r>
    </w:p>
    <w:p w:rsidR="000C475B" w:rsidRDefault="000C475B" w:rsidP="00EA71EB">
      <w:pPr>
        <w:jc w:val="both"/>
        <w:rPr>
          <w:rFonts w:ascii="Montserrat" w:hAnsi="Montserrat"/>
        </w:rPr>
      </w:pPr>
    </w:p>
    <w:p w:rsidR="000C475B" w:rsidRDefault="00602E85" w:rsidP="00EA71EB">
      <w:pPr>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rsidR="000C475B" w:rsidRDefault="000C475B" w:rsidP="00EA71EB">
      <w:pPr>
        <w:jc w:val="both"/>
        <w:rPr>
          <w:rFonts w:ascii="Montserrat" w:hAnsi="Montserrat"/>
        </w:rPr>
      </w:pPr>
    </w:p>
    <w:p w:rsidR="000C475B" w:rsidRDefault="00602E85" w:rsidP="00EA71EB">
      <w:pPr>
        <w:pStyle w:val="affb"/>
        <w:widowControl w:val="0"/>
        <w:spacing w:beforeAutospacing="0" w:afterAutospacing="0"/>
        <w:jc w:val="center"/>
        <w:rPr>
          <w:rFonts w:ascii="Montserrat" w:hAnsi="Montserrat"/>
          <w:b/>
          <w:color w:val="58595B"/>
        </w:rPr>
      </w:pPr>
      <w:r>
        <w:rPr>
          <w:rFonts w:ascii="Montserrat" w:hAnsi="Montserrat"/>
          <w:b/>
          <w:color w:val="58595B"/>
        </w:rPr>
        <w:t>Мы в социальных сетях:</w:t>
      </w:r>
    </w:p>
    <w:p w:rsidR="000C475B" w:rsidRDefault="00602E85" w:rsidP="00EA71EB">
      <w:pPr>
        <w:pStyle w:val="affb"/>
        <w:spacing w:beforeAutospacing="0" w:afterAutospacing="0"/>
        <w:jc w:val="center"/>
        <w:rPr>
          <w:rFonts w:asciiTheme="minorHAnsi" w:hAnsiTheme="minorHAnsi"/>
          <w:b/>
          <w:color w:val="488DCD"/>
        </w:rPr>
      </w:pPr>
      <w:r>
        <w:rPr>
          <w:noProof/>
        </w:rPr>
        <w:drawing>
          <wp:inline distT="0" distB="0" distL="0" distR="0">
            <wp:extent cx="306070" cy="306070"/>
            <wp:effectExtent l="0" t="0" r="0" b="0"/>
            <wp:docPr id="2" name="Рисунок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a:hlinkClick r:id="rId16"/>
                    </pic:cNvPr>
                    <pic:cNvPicPr>
                      <a:picLocks noChangeAspect="1" noChangeArrowheads="1"/>
                    </pic:cNvPicPr>
                  </pic:nvPicPr>
                  <pic:blipFill>
                    <a:blip r:embed="rId17"/>
                    <a:stretch>
                      <a:fillRect/>
                    </a:stretch>
                  </pic:blipFill>
                  <pic:spPr bwMode="auto">
                    <a:xfrm>
                      <a:off x="0" y="0"/>
                      <a:ext cx="306070" cy="306070"/>
                    </a:xfrm>
                    <a:prstGeom prst="rect">
                      <a:avLst/>
                    </a:prstGeom>
                    <a:noFill/>
                  </pic:spPr>
                </pic:pic>
              </a:graphicData>
            </a:graphic>
          </wp:inline>
        </w:drawing>
      </w:r>
      <w:r>
        <w:rPr>
          <w:noProof/>
        </w:rPr>
        <w:drawing>
          <wp:inline distT="0" distB="0" distL="0" distR="0">
            <wp:extent cx="306070" cy="306070"/>
            <wp:effectExtent l="0" t="0" r="0" b="0"/>
            <wp:docPr id="3" name="Рисунок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a:hlinkClick r:id="rId18"/>
                    </pic:cNvPr>
                    <pic:cNvPicPr>
                      <a:picLocks noChangeAspect="1" noChangeArrowheads="1"/>
                    </pic:cNvPicPr>
                  </pic:nvPicPr>
                  <pic:blipFill>
                    <a:blip r:embed="rId19"/>
                    <a:stretch>
                      <a:fillRect/>
                    </a:stretch>
                  </pic:blipFill>
                  <pic:spPr bwMode="auto">
                    <a:xfrm>
                      <a:off x="0" y="0"/>
                      <a:ext cx="306070" cy="306070"/>
                    </a:xfrm>
                    <a:prstGeom prst="rect">
                      <a:avLst/>
                    </a:prstGeom>
                    <a:noFill/>
                  </pic:spPr>
                </pic:pic>
              </a:graphicData>
            </a:graphic>
          </wp:inline>
        </w:drawing>
      </w:r>
      <w:r>
        <w:rPr>
          <w:noProof/>
        </w:rPr>
        <w:drawing>
          <wp:inline distT="0" distB="0" distL="0" distR="0">
            <wp:extent cx="306070" cy="306070"/>
            <wp:effectExtent l="0" t="0" r="0" b="0"/>
            <wp:docPr id="4" name="Рисунок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a:hlinkClick r:id="rId20"/>
                    </pic:cNvPr>
                    <pic:cNvPicPr>
                      <a:picLocks noChangeAspect="1" noChangeArrowheads="1"/>
                    </pic:cNvPicPr>
                  </pic:nvPicPr>
                  <pic:blipFill>
                    <a:blip r:embed="rId21"/>
                    <a:stretch>
                      <a:fillRect/>
                    </a:stretch>
                  </pic:blipFill>
                  <pic:spPr bwMode="auto">
                    <a:xfrm>
                      <a:off x="0" y="0"/>
                      <a:ext cx="306070" cy="306070"/>
                    </a:xfrm>
                    <a:prstGeom prst="rect">
                      <a:avLst/>
                    </a:prstGeom>
                    <a:noFill/>
                  </pic:spPr>
                </pic:pic>
              </a:graphicData>
            </a:graphic>
          </wp:inline>
        </w:drawing>
      </w:r>
      <w:r>
        <w:rPr>
          <w:noProof/>
        </w:rPr>
        <w:drawing>
          <wp:inline distT="0" distB="0" distL="0" distR="0">
            <wp:extent cx="306070" cy="306070"/>
            <wp:effectExtent l="0" t="0" r="0" b="0"/>
            <wp:docPr id="5" name="Рисунок 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a:hlinkClick r:id="rId22"/>
                    </pic:cNvPr>
                    <pic:cNvPicPr>
                      <a:picLocks noChangeAspect="1" noChangeArrowheads="1"/>
                    </pic:cNvPicPr>
                  </pic:nvPicPr>
                  <pic:blipFill>
                    <a:blip r:embed="rId23"/>
                    <a:stretch>
                      <a:fillRect/>
                    </a:stretch>
                  </pic:blipFill>
                  <pic:spPr bwMode="auto">
                    <a:xfrm>
                      <a:off x="0" y="0"/>
                      <a:ext cx="306070" cy="306070"/>
                    </a:xfrm>
                    <a:prstGeom prst="rect">
                      <a:avLst/>
                    </a:prstGeom>
                    <a:noFill/>
                  </pic:spPr>
                </pic:pic>
              </a:graphicData>
            </a:graphic>
          </wp:inline>
        </w:drawing>
      </w:r>
      <w:r>
        <w:rPr>
          <w:noProof/>
        </w:rPr>
        <w:drawing>
          <wp:inline distT="0" distB="0" distL="0" distR="0">
            <wp:extent cx="306070" cy="306070"/>
            <wp:effectExtent l="0" t="0" r="0" b="0"/>
            <wp:docPr id="6" name="Рисунок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a:hlinkClick r:id="rId24"/>
                    </pic:cNvPr>
                    <pic:cNvPicPr>
                      <a:picLocks noChangeAspect="1" noChangeArrowheads="1"/>
                    </pic:cNvPicPr>
                  </pic:nvPicPr>
                  <pic:blipFill>
                    <a:blip r:embed="rId25"/>
                    <a:stretch>
                      <a:fillRect/>
                    </a:stretch>
                  </pic:blipFill>
                  <pic:spPr bwMode="auto">
                    <a:xfrm>
                      <a:off x="0" y="0"/>
                      <a:ext cx="306070" cy="306070"/>
                    </a:xfrm>
                    <a:prstGeom prst="rect">
                      <a:avLst/>
                    </a:prstGeom>
                    <a:noFill/>
                  </pic:spPr>
                </pic:pic>
              </a:graphicData>
            </a:graphic>
          </wp:inline>
        </w:drawing>
      </w:r>
    </w:p>
    <w:p w:rsidR="000C475B" w:rsidRPr="00EA71EB" w:rsidRDefault="000C475B" w:rsidP="00EA71EB">
      <w:pPr>
        <w:pStyle w:val="affb"/>
        <w:spacing w:beforeAutospacing="0" w:afterAutospacing="0"/>
        <w:jc w:val="center"/>
        <w:rPr>
          <w:rFonts w:asciiTheme="minorHAnsi" w:hAnsiTheme="minorHAnsi"/>
          <w:b/>
          <w:color w:val="488DCD"/>
          <w:sz w:val="18"/>
          <w:szCs w:val="18"/>
        </w:rPr>
      </w:pPr>
    </w:p>
    <w:p w:rsidR="000C475B" w:rsidRPr="004514AC" w:rsidRDefault="00602E85" w:rsidP="00EA71EB">
      <w:pPr>
        <w:pStyle w:val="affb"/>
        <w:spacing w:beforeAutospacing="0" w:afterAutospacing="0"/>
        <w:jc w:val="center"/>
        <w:rPr>
          <w:rFonts w:asciiTheme="minorHAnsi" w:hAnsiTheme="minorHAnsi"/>
          <w:color w:val="050D15"/>
          <w:sz w:val="18"/>
          <w:szCs w:val="18"/>
        </w:rPr>
      </w:pPr>
      <w:r w:rsidRPr="004514AC">
        <w:rPr>
          <w:rFonts w:asciiTheme="minorHAnsi" w:hAnsiTheme="minorHAnsi"/>
          <w:color w:val="050D15"/>
          <w:sz w:val="18"/>
          <w:szCs w:val="18"/>
        </w:rPr>
        <w:t>Отделение Фонда пенсионного и социального страхования Российской Федерации</w:t>
      </w:r>
    </w:p>
    <w:p w:rsidR="000C475B" w:rsidRPr="004514AC" w:rsidRDefault="00602E85" w:rsidP="00EA71EB">
      <w:pPr>
        <w:pStyle w:val="affb"/>
        <w:spacing w:beforeAutospacing="0" w:afterAutospacing="0"/>
        <w:jc w:val="center"/>
        <w:rPr>
          <w:rFonts w:ascii="Montserrat" w:hAnsi="Montserrat"/>
          <w:iCs/>
          <w:color w:val="0000FF"/>
          <w:sz w:val="18"/>
          <w:szCs w:val="18"/>
          <w:u w:val="single"/>
        </w:rPr>
      </w:pPr>
      <w:r w:rsidRPr="004514AC">
        <w:rPr>
          <w:rFonts w:asciiTheme="minorHAnsi" w:hAnsiTheme="minorHAnsi"/>
          <w:color w:val="050D15"/>
          <w:sz w:val="18"/>
          <w:szCs w:val="18"/>
        </w:rPr>
        <w:t>Руководитель Клиентской службы (на правах отдела) в Славянском районе Л.А. Скоробогатько</w:t>
      </w:r>
      <w:bookmarkStart w:id="0" w:name="_GoBack"/>
      <w:bookmarkEnd w:id="0"/>
    </w:p>
    <w:sectPr w:rsidR="000C475B" w:rsidRPr="004514AC" w:rsidSect="00EA71EB">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567" w:footer="567"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4A1" w:rsidRDefault="00B734A1" w:rsidP="000C475B">
      <w:r>
        <w:separator/>
      </w:r>
    </w:p>
  </w:endnote>
  <w:endnote w:type="continuationSeparator" w:id="1">
    <w:p w:rsidR="00B734A1" w:rsidRDefault="00B734A1" w:rsidP="000C47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roman"/>
    <w:pitch w:val="variable"/>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5B" w:rsidRDefault="00B774AD">
    <w:pPr>
      <w:pStyle w:val="af1"/>
      <w:ind w:right="360"/>
    </w:pPr>
    <w:r>
      <w:pict>
        <v:rect id="_x0000_s2049" style="position:absolute;margin-left:-77.7pt;margin-top:.05pt;width:1.15pt;height:1.15pt;z-index:251659776;mso-wrap-distance-left:0;mso-wrap-distance-right:0;mso-position-horizontal:right;mso-position-horizontal-relative:margin">
          <v:fill opacity="0"/>
          <v:textbox inset="0,0,0,0">
            <w:txbxContent>
              <w:p w:rsidR="000C475B" w:rsidRDefault="00B774AD">
                <w:pPr>
                  <w:pStyle w:val="af1"/>
                  <w:rPr>
                    <w:rStyle w:val="afa"/>
                  </w:rPr>
                </w:pPr>
                <w:r>
                  <w:rPr>
                    <w:rStyle w:val="afa"/>
                  </w:rPr>
                  <w:fldChar w:fldCharType="begin"/>
                </w:r>
                <w:r w:rsidR="00602E85">
                  <w:rPr>
                    <w:rStyle w:val="afa"/>
                  </w:rPr>
                  <w:instrText xml:space="preserve"> PAGE </w:instrText>
                </w:r>
                <w:r>
                  <w:rPr>
                    <w:rStyle w:val="afa"/>
                  </w:rPr>
                  <w:fldChar w:fldCharType="separate"/>
                </w:r>
                <w:r w:rsidR="00602E85">
                  <w:rPr>
                    <w:rStyle w:val="afa"/>
                  </w:rPr>
                  <w:t>0</w:t>
                </w:r>
                <w:r>
                  <w:rPr>
                    <w:rStyle w:val="afa"/>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5B" w:rsidRDefault="000C475B">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5B" w:rsidRDefault="000C475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4A1" w:rsidRDefault="00B734A1" w:rsidP="000C475B">
      <w:r>
        <w:separator/>
      </w:r>
    </w:p>
  </w:footnote>
  <w:footnote w:type="continuationSeparator" w:id="1">
    <w:p w:rsidR="00B734A1" w:rsidRDefault="00B734A1" w:rsidP="000C4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5B" w:rsidRDefault="000C475B">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f3"/>
      <w:tblW w:w="10342" w:type="dxa"/>
      <w:tblLayout w:type="fixed"/>
      <w:tblLook w:val="04A0"/>
    </w:tblPr>
    <w:tblGrid>
      <w:gridCol w:w="3431"/>
      <w:gridCol w:w="2087"/>
      <w:gridCol w:w="2665"/>
      <w:gridCol w:w="2159"/>
    </w:tblGrid>
    <w:tr w:rsidR="000C475B">
      <w:tc>
        <w:tcPr>
          <w:tcW w:w="3430" w:type="dxa"/>
          <w:tcBorders>
            <w:top w:val="nil"/>
            <w:left w:val="nil"/>
            <w:bottom w:val="nil"/>
            <w:right w:val="nil"/>
          </w:tcBorders>
        </w:tcPr>
        <w:p w:rsidR="000C475B" w:rsidRDefault="00602E85">
          <w:pPr>
            <w:pStyle w:val="af"/>
            <w:rPr>
              <w:rFonts w:ascii="Calibri" w:eastAsia="Calibri" w:hAnsi="Calibri"/>
            </w:rPr>
          </w:pPr>
          <w:r>
            <w:rPr>
              <w:rFonts w:ascii="Calibri" w:eastAsia="Calibri" w:hAnsi="Calibri"/>
              <w:noProof/>
            </w:rPr>
            <w:drawing>
              <wp:inline distT="0" distB="0" distL="0" distR="0">
                <wp:extent cx="2040890" cy="249555"/>
                <wp:effectExtent l="0" t="0" r="0" b="0"/>
                <wp:docPr id="7"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rsidR="000C475B" w:rsidRDefault="000C475B">
          <w:pPr>
            <w:pStyle w:val="af"/>
            <w:rPr>
              <w:rFonts w:ascii="Montserrat" w:hAnsi="Montserrat"/>
              <w:sz w:val="16"/>
              <w:szCs w:val="16"/>
              <w:lang w:val="en-US"/>
            </w:rPr>
          </w:pPr>
        </w:p>
      </w:tc>
      <w:tc>
        <w:tcPr>
          <w:tcW w:w="2665" w:type="dxa"/>
          <w:tcBorders>
            <w:top w:val="nil"/>
            <w:left w:val="nil"/>
            <w:bottom w:val="nil"/>
            <w:right w:val="nil"/>
          </w:tcBorders>
        </w:tcPr>
        <w:p w:rsidR="000C475B" w:rsidRDefault="000C475B">
          <w:pPr>
            <w:pStyle w:val="af"/>
            <w:rPr>
              <w:rFonts w:ascii="Montserrat" w:hAnsi="Montserrat" w:cs="Helv"/>
              <w:color w:val="000000"/>
              <w:sz w:val="16"/>
              <w:szCs w:val="16"/>
            </w:rPr>
          </w:pPr>
        </w:p>
      </w:tc>
      <w:tc>
        <w:tcPr>
          <w:tcW w:w="2159" w:type="dxa"/>
          <w:tcBorders>
            <w:top w:val="nil"/>
            <w:left w:val="nil"/>
            <w:bottom w:val="nil"/>
            <w:right w:val="nil"/>
          </w:tcBorders>
        </w:tcPr>
        <w:p w:rsidR="000C475B" w:rsidRDefault="000C475B">
          <w:pPr>
            <w:pStyle w:val="af"/>
            <w:rPr>
              <w:rFonts w:ascii="Montserrat" w:hAnsi="Montserrat"/>
              <w:sz w:val="16"/>
              <w:szCs w:val="16"/>
            </w:rPr>
          </w:pPr>
        </w:p>
      </w:tc>
    </w:tr>
  </w:tbl>
  <w:p w:rsidR="000C475B" w:rsidRDefault="00B774AD">
    <w:pPr>
      <w:pStyle w:val="af"/>
      <w:rPr>
        <w:lang w:val="en-US"/>
      </w:rPr>
    </w:pPr>
    <w:r w:rsidRPr="00B774AD">
      <w:rPr>
        <w:lang w:val="en-US"/>
      </w:rPr>
      <w:pict>
        <v:shape id="Прямоугольник 3" o:spid="_x0000_s2052" style="position:absolute;margin-left:2.85pt;margin-top:1.5pt;width:39.95pt;height:17.75pt;z-index:251656704;mso-wrap-style:square;mso-position-horizontal-relative:page;mso-position-vertical-relative:margin;v-text-anchor:top" coordsize="" o:allowincell="f" path="m,l-127,r,-127l,-127xe" stroked="f" strokecolor="#3465a4">
          <v:fill color2="black" o:detectmouseclick="t"/>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f3"/>
      <w:tblW w:w="10693" w:type="dxa"/>
      <w:tblLayout w:type="fixed"/>
      <w:tblLook w:val="04A0"/>
    </w:tblPr>
    <w:tblGrid>
      <w:gridCol w:w="3370"/>
      <w:gridCol w:w="2357"/>
      <w:gridCol w:w="2665"/>
      <w:gridCol w:w="2301"/>
    </w:tblGrid>
    <w:tr w:rsidR="000C475B">
      <w:tc>
        <w:tcPr>
          <w:tcW w:w="3369" w:type="dxa"/>
          <w:tcBorders>
            <w:top w:val="nil"/>
            <w:left w:val="nil"/>
            <w:bottom w:val="nil"/>
            <w:right w:val="nil"/>
          </w:tcBorders>
        </w:tcPr>
        <w:p w:rsidR="000C475B" w:rsidRDefault="00602E85">
          <w:pPr>
            <w:pStyle w:val="af"/>
            <w:rPr>
              <w:rFonts w:ascii="Calibri" w:eastAsia="Calibri" w:hAnsi="Calibri"/>
            </w:rPr>
          </w:pPr>
          <w:r>
            <w:rPr>
              <w:rFonts w:ascii="Calibri" w:eastAsia="Calibri" w:hAnsi="Calibri"/>
              <w:noProof/>
            </w:rPr>
            <w:drawing>
              <wp:inline distT="0" distB="0" distL="0" distR="0">
                <wp:extent cx="1569720" cy="450850"/>
                <wp:effectExtent l="0" t="0" r="0" b="0"/>
                <wp:docPr id="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rsidR="000C475B" w:rsidRDefault="000C475B">
          <w:pPr>
            <w:pStyle w:val="af"/>
            <w:rPr>
              <w:rFonts w:ascii="Montserrat" w:hAnsi="Montserrat"/>
              <w:sz w:val="16"/>
              <w:szCs w:val="16"/>
              <w:lang w:val="en-US"/>
            </w:rPr>
          </w:pPr>
        </w:p>
      </w:tc>
      <w:tc>
        <w:tcPr>
          <w:tcW w:w="2665" w:type="dxa"/>
          <w:tcBorders>
            <w:top w:val="nil"/>
            <w:left w:val="nil"/>
            <w:bottom w:val="nil"/>
            <w:right w:val="nil"/>
          </w:tcBorders>
        </w:tcPr>
        <w:p w:rsidR="000C475B" w:rsidRDefault="000C475B">
          <w:pPr>
            <w:pStyle w:val="af"/>
            <w:rPr>
              <w:rFonts w:ascii="Montserrat" w:hAnsi="Montserrat" w:cs="Helv"/>
              <w:color w:val="000000"/>
              <w:sz w:val="16"/>
              <w:szCs w:val="16"/>
            </w:rPr>
          </w:pPr>
        </w:p>
      </w:tc>
      <w:tc>
        <w:tcPr>
          <w:tcW w:w="2301" w:type="dxa"/>
          <w:tcBorders>
            <w:top w:val="nil"/>
            <w:left w:val="nil"/>
            <w:bottom w:val="nil"/>
            <w:right w:val="nil"/>
          </w:tcBorders>
        </w:tcPr>
        <w:p w:rsidR="000C475B" w:rsidRDefault="000C475B">
          <w:pPr>
            <w:pStyle w:val="af"/>
            <w:rPr>
              <w:rFonts w:ascii="Montserrat" w:hAnsi="Montserrat"/>
              <w:bCs/>
              <w:iCs/>
              <w:sz w:val="16"/>
              <w:szCs w:val="16"/>
            </w:rPr>
          </w:pPr>
        </w:p>
      </w:tc>
    </w:tr>
  </w:tbl>
  <w:p w:rsidR="000C475B" w:rsidRDefault="00B774AD">
    <w:pPr>
      <w:pStyle w:val="af"/>
    </w:pPr>
    <w:r>
      <w:pict>
        <v:shape id="_x0000_s2050" style="position:absolute;margin-left:4.6pt;margin-top:3.95pt;width:39.95pt;height:17.75pt;z-index:251658752;mso-wrap-style:square;mso-position-horizontal-relative:page;mso-position-vertical-relative:margin;v-text-anchor:top" coordsize="" o:allowincell="f" path="m,l-127,r,-127l,-127xe" stroked="f" strokecolor="#3465a4">
          <v:fill color2="black" o:detectmouseclick="t"/>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84EF8"/>
    <w:multiLevelType w:val="multilevel"/>
    <w:tmpl w:val="71683B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A4F5E2A"/>
    <w:multiLevelType w:val="multilevel"/>
    <w:tmpl w:val="8188B53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C475B"/>
    <w:rsid w:val="000C475B"/>
    <w:rsid w:val="004514AC"/>
    <w:rsid w:val="00602E85"/>
    <w:rsid w:val="00B734A1"/>
    <w:rsid w:val="00B774AD"/>
    <w:rsid w:val="00EA7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75B"/>
    <w:rPr>
      <w:sz w:val="24"/>
      <w:szCs w:val="24"/>
    </w:rPr>
  </w:style>
  <w:style w:type="paragraph" w:styleId="1">
    <w:name w:val="heading 1"/>
    <w:basedOn w:val="a"/>
    <w:next w:val="a"/>
    <w:link w:val="10"/>
    <w:qFormat/>
    <w:rsid w:val="000C475B"/>
    <w:pPr>
      <w:keepNext/>
      <w:outlineLvl w:val="0"/>
    </w:pPr>
    <w:rPr>
      <w:b/>
      <w:sz w:val="20"/>
      <w:szCs w:val="20"/>
    </w:rPr>
  </w:style>
  <w:style w:type="paragraph" w:styleId="2">
    <w:name w:val="heading 2"/>
    <w:basedOn w:val="a"/>
    <w:next w:val="a"/>
    <w:link w:val="20"/>
    <w:qFormat/>
    <w:rsid w:val="000C475B"/>
    <w:pPr>
      <w:keepNext/>
      <w:jc w:val="center"/>
      <w:outlineLvl w:val="1"/>
    </w:pPr>
    <w:rPr>
      <w:rFonts w:ascii="Arial" w:hAnsi="Arial"/>
      <w:b/>
      <w:szCs w:val="20"/>
    </w:rPr>
  </w:style>
  <w:style w:type="paragraph" w:styleId="3">
    <w:name w:val="heading 3"/>
    <w:basedOn w:val="a"/>
    <w:next w:val="a"/>
    <w:link w:val="30"/>
    <w:qFormat/>
    <w:rsid w:val="000C475B"/>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0C475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C475B"/>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rsid w:val="000C475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C475B"/>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rsid w:val="000C475B"/>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rsid w:val="000C475B"/>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sid w:val="000C475B"/>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qFormat/>
    <w:rsid w:val="000C475B"/>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qFormat/>
    <w:rsid w:val="000C475B"/>
    <w:rPr>
      <w:rFonts w:ascii="Arial" w:eastAsia="Arial" w:hAnsi="Arial" w:cs="Arial"/>
      <w:color w:val="365F91" w:themeColor="accent1" w:themeShade="BF"/>
      <w:sz w:val="28"/>
      <w:szCs w:val="28"/>
    </w:rPr>
  </w:style>
  <w:style w:type="character" w:customStyle="1" w:styleId="Heading4Char">
    <w:name w:val="Heading 4 Char"/>
    <w:basedOn w:val="a0"/>
    <w:uiPriority w:val="9"/>
    <w:qFormat/>
    <w:rsid w:val="000C475B"/>
    <w:rPr>
      <w:rFonts w:ascii="Arial" w:eastAsia="Arial" w:hAnsi="Arial" w:cs="Arial"/>
      <w:i/>
      <w:iCs/>
      <w:color w:val="365F91" w:themeColor="accent1" w:themeShade="BF"/>
    </w:rPr>
  </w:style>
  <w:style w:type="character" w:customStyle="1" w:styleId="50">
    <w:name w:val="Заголовок 5 Знак"/>
    <w:basedOn w:val="a0"/>
    <w:link w:val="5"/>
    <w:uiPriority w:val="9"/>
    <w:qFormat/>
    <w:rsid w:val="000C475B"/>
    <w:rPr>
      <w:rFonts w:ascii="Arial" w:eastAsia="Arial" w:hAnsi="Arial" w:cs="Arial"/>
      <w:color w:val="365F91" w:themeColor="accent1" w:themeShade="BF"/>
    </w:rPr>
  </w:style>
  <w:style w:type="character" w:customStyle="1" w:styleId="Heading6Char">
    <w:name w:val="Heading 6 Char"/>
    <w:basedOn w:val="a0"/>
    <w:uiPriority w:val="9"/>
    <w:qFormat/>
    <w:rsid w:val="000C475B"/>
    <w:rPr>
      <w:rFonts w:ascii="Arial" w:eastAsia="Arial" w:hAnsi="Arial" w:cs="Arial"/>
      <w:i/>
      <w:iCs/>
      <w:color w:val="595959" w:themeColor="text1" w:themeTint="A6"/>
    </w:rPr>
  </w:style>
  <w:style w:type="character" w:customStyle="1" w:styleId="70">
    <w:name w:val="Заголовок 7 Знак"/>
    <w:basedOn w:val="a0"/>
    <w:link w:val="7"/>
    <w:uiPriority w:val="9"/>
    <w:qFormat/>
    <w:rsid w:val="000C475B"/>
    <w:rPr>
      <w:rFonts w:ascii="Arial" w:eastAsia="Arial" w:hAnsi="Arial" w:cs="Arial"/>
      <w:color w:val="595959" w:themeColor="text1" w:themeTint="A6"/>
    </w:rPr>
  </w:style>
  <w:style w:type="character" w:customStyle="1" w:styleId="80">
    <w:name w:val="Заголовок 8 Знак"/>
    <w:basedOn w:val="a0"/>
    <w:link w:val="8"/>
    <w:uiPriority w:val="9"/>
    <w:qFormat/>
    <w:rsid w:val="000C475B"/>
    <w:rPr>
      <w:rFonts w:ascii="Arial" w:eastAsia="Arial" w:hAnsi="Arial" w:cs="Arial"/>
      <w:i/>
      <w:iCs/>
      <w:color w:val="272727" w:themeColor="text1" w:themeTint="D8"/>
    </w:rPr>
  </w:style>
  <w:style w:type="character" w:customStyle="1" w:styleId="90">
    <w:name w:val="Заголовок 9 Знак"/>
    <w:basedOn w:val="a0"/>
    <w:link w:val="9"/>
    <w:uiPriority w:val="9"/>
    <w:qFormat/>
    <w:rsid w:val="000C475B"/>
    <w:rPr>
      <w:rFonts w:ascii="Arial" w:eastAsia="Arial" w:hAnsi="Arial" w:cs="Arial"/>
      <w:i/>
      <w:iCs/>
      <w:color w:val="272727" w:themeColor="text1" w:themeTint="D8"/>
    </w:rPr>
  </w:style>
  <w:style w:type="character" w:customStyle="1" w:styleId="a3">
    <w:name w:val="Название Знак"/>
    <w:basedOn w:val="a0"/>
    <w:link w:val="a4"/>
    <w:uiPriority w:val="10"/>
    <w:qFormat/>
    <w:rsid w:val="000C475B"/>
    <w:rPr>
      <w:rFonts w:ascii="Arial" w:eastAsia="Arial" w:hAnsi="Arial" w:cs="Arial"/>
      <w:spacing w:val="-10"/>
      <w:sz w:val="56"/>
      <w:szCs w:val="56"/>
    </w:rPr>
  </w:style>
  <w:style w:type="character" w:customStyle="1" w:styleId="a5">
    <w:name w:val="Подзаголовок Знак"/>
    <w:basedOn w:val="a0"/>
    <w:link w:val="a6"/>
    <w:uiPriority w:val="11"/>
    <w:qFormat/>
    <w:rsid w:val="000C475B"/>
    <w:rPr>
      <w:color w:val="595959" w:themeColor="text1" w:themeTint="A6"/>
      <w:spacing w:val="15"/>
      <w:sz w:val="28"/>
      <w:szCs w:val="28"/>
    </w:rPr>
  </w:style>
  <w:style w:type="character" w:customStyle="1" w:styleId="21">
    <w:name w:val="Цитата 2 Знак"/>
    <w:basedOn w:val="a0"/>
    <w:link w:val="22"/>
    <w:uiPriority w:val="29"/>
    <w:qFormat/>
    <w:rsid w:val="000C475B"/>
    <w:rPr>
      <w:i/>
      <w:iCs/>
      <w:color w:val="404040" w:themeColor="text1" w:themeTint="BF"/>
    </w:rPr>
  </w:style>
  <w:style w:type="character" w:styleId="a7">
    <w:name w:val="Intense Emphasis"/>
    <w:basedOn w:val="a0"/>
    <w:uiPriority w:val="21"/>
    <w:qFormat/>
    <w:rsid w:val="000C475B"/>
    <w:rPr>
      <w:i/>
      <w:iCs/>
      <w:color w:val="365F91" w:themeColor="accent1" w:themeShade="BF"/>
    </w:rPr>
  </w:style>
  <w:style w:type="character" w:customStyle="1" w:styleId="a8">
    <w:name w:val="Выделенная цитата Знак"/>
    <w:basedOn w:val="a0"/>
    <w:link w:val="a9"/>
    <w:uiPriority w:val="30"/>
    <w:qFormat/>
    <w:rsid w:val="000C475B"/>
    <w:rPr>
      <w:i/>
      <w:iCs/>
      <w:color w:val="365F91" w:themeColor="accent1" w:themeShade="BF"/>
    </w:rPr>
  </w:style>
  <w:style w:type="character" w:styleId="aa">
    <w:name w:val="Intense Reference"/>
    <w:basedOn w:val="a0"/>
    <w:uiPriority w:val="32"/>
    <w:qFormat/>
    <w:rsid w:val="000C475B"/>
    <w:rPr>
      <w:b/>
      <w:bCs/>
      <w:smallCaps/>
      <w:color w:val="365F91" w:themeColor="accent1" w:themeShade="BF"/>
      <w:spacing w:val="5"/>
    </w:rPr>
  </w:style>
  <w:style w:type="character" w:styleId="ab">
    <w:name w:val="Subtle Emphasis"/>
    <w:basedOn w:val="a0"/>
    <w:uiPriority w:val="19"/>
    <w:qFormat/>
    <w:rsid w:val="000C475B"/>
    <w:rPr>
      <w:i/>
      <w:iCs/>
      <w:color w:val="404040" w:themeColor="text1" w:themeTint="BF"/>
    </w:rPr>
  </w:style>
  <w:style w:type="character" w:styleId="ac">
    <w:name w:val="Subtle Reference"/>
    <w:basedOn w:val="a0"/>
    <w:uiPriority w:val="31"/>
    <w:qFormat/>
    <w:rsid w:val="000C475B"/>
    <w:rPr>
      <w:smallCaps/>
      <w:color w:val="5A5A5A" w:themeColor="text1" w:themeTint="A5"/>
    </w:rPr>
  </w:style>
  <w:style w:type="character" w:styleId="ad">
    <w:name w:val="Book Title"/>
    <w:basedOn w:val="a0"/>
    <w:uiPriority w:val="33"/>
    <w:qFormat/>
    <w:rsid w:val="000C475B"/>
    <w:rPr>
      <w:b/>
      <w:bCs/>
      <w:i/>
      <w:iCs/>
      <w:spacing w:val="5"/>
    </w:rPr>
  </w:style>
  <w:style w:type="character" w:customStyle="1" w:styleId="ae">
    <w:name w:val="Верхний колонтитул Знак"/>
    <w:basedOn w:val="a0"/>
    <w:link w:val="af"/>
    <w:uiPriority w:val="99"/>
    <w:qFormat/>
    <w:rsid w:val="000C475B"/>
  </w:style>
  <w:style w:type="character" w:customStyle="1" w:styleId="af0">
    <w:name w:val="Нижний колонтитул Знак"/>
    <w:basedOn w:val="a0"/>
    <w:link w:val="af1"/>
    <w:uiPriority w:val="99"/>
    <w:qFormat/>
    <w:rsid w:val="000C475B"/>
  </w:style>
  <w:style w:type="character" w:customStyle="1" w:styleId="af2">
    <w:name w:val="Текст сноски Знак"/>
    <w:basedOn w:val="a0"/>
    <w:link w:val="af3"/>
    <w:uiPriority w:val="99"/>
    <w:semiHidden/>
    <w:qFormat/>
    <w:rsid w:val="000C475B"/>
    <w:rPr>
      <w:sz w:val="20"/>
      <w:szCs w:val="20"/>
    </w:rPr>
  </w:style>
  <w:style w:type="character" w:customStyle="1" w:styleId="af4">
    <w:name w:val="Символ сноски"/>
    <w:basedOn w:val="a0"/>
    <w:uiPriority w:val="99"/>
    <w:semiHidden/>
    <w:unhideWhenUsed/>
    <w:qFormat/>
    <w:rsid w:val="000C475B"/>
    <w:rPr>
      <w:vertAlign w:val="superscript"/>
    </w:rPr>
  </w:style>
  <w:style w:type="character" w:styleId="af5">
    <w:name w:val="footnote reference"/>
    <w:rsid w:val="000C475B"/>
    <w:rPr>
      <w:vertAlign w:val="superscript"/>
    </w:rPr>
  </w:style>
  <w:style w:type="character" w:customStyle="1" w:styleId="af6">
    <w:name w:val="Текст концевой сноски Знак"/>
    <w:basedOn w:val="a0"/>
    <w:link w:val="af7"/>
    <w:uiPriority w:val="99"/>
    <w:semiHidden/>
    <w:qFormat/>
    <w:rsid w:val="000C475B"/>
    <w:rPr>
      <w:sz w:val="20"/>
      <w:szCs w:val="20"/>
    </w:rPr>
  </w:style>
  <w:style w:type="character" w:customStyle="1" w:styleId="af8">
    <w:name w:val="Символ концевой сноски"/>
    <w:basedOn w:val="a0"/>
    <w:uiPriority w:val="99"/>
    <w:semiHidden/>
    <w:unhideWhenUsed/>
    <w:qFormat/>
    <w:rsid w:val="000C475B"/>
    <w:rPr>
      <w:vertAlign w:val="superscript"/>
    </w:rPr>
  </w:style>
  <w:style w:type="character" w:styleId="af9">
    <w:name w:val="endnote reference"/>
    <w:rsid w:val="000C475B"/>
    <w:rPr>
      <w:vertAlign w:val="superscript"/>
    </w:rPr>
  </w:style>
  <w:style w:type="character" w:styleId="afa">
    <w:name w:val="page number"/>
    <w:basedOn w:val="a0"/>
    <w:rsid w:val="000C475B"/>
  </w:style>
  <w:style w:type="character" w:styleId="afb">
    <w:name w:val="Strong"/>
    <w:uiPriority w:val="22"/>
    <w:qFormat/>
    <w:rsid w:val="000C475B"/>
    <w:rPr>
      <w:b/>
      <w:bCs/>
    </w:rPr>
  </w:style>
  <w:style w:type="character" w:styleId="afc">
    <w:name w:val="Hyperlink"/>
    <w:uiPriority w:val="99"/>
    <w:rsid w:val="000C475B"/>
    <w:rPr>
      <w:color w:val="0000FF"/>
      <w:u w:val="single"/>
    </w:rPr>
  </w:style>
  <w:style w:type="character" w:styleId="afd">
    <w:name w:val="Emphasis"/>
    <w:qFormat/>
    <w:rsid w:val="000C475B"/>
    <w:rPr>
      <w:i/>
      <w:iCs/>
    </w:rPr>
  </w:style>
  <w:style w:type="character" w:customStyle="1" w:styleId="apple-style-span">
    <w:name w:val="apple-style-span"/>
    <w:basedOn w:val="a0"/>
    <w:qFormat/>
    <w:rsid w:val="000C475B"/>
  </w:style>
  <w:style w:type="character" w:customStyle="1" w:styleId="apple-converted-space">
    <w:name w:val="apple-converted-space"/>
    <w:basedOn w:val="a0"/>
    <w:qFormat/>
    <w:rsid w:val="000C475B"/>
  </w:style>
  <w:style w:type="character" w:styleId="afe">
    <w:name w:val="FollowedHyperlink"/>
    <w:rsid w:val="000C475B"/>
    <w:rPr>
      <w:color w:val="800080"/>
      <w:u w:val="single"/>
    </w:rPr>
  </w:style>
  <w:style w:type="character" w:customStyle="1" w:styleId="aff">
    <w:name w:val="Текст документа Знак"/>
    <w:link w:val="aff0"/>
    <w:qFormat/>
    <w:rsid w:val="000C475B"/>
    <w:rPr>
      <w:rFonts w:eastAsia="Verdana"/>
      <w:color w:val="000000"/>
      <w:sz w:val="24"/>
      <w:szCs w:val="28"/>
      <w:lang w:bidi="ar-SA"/>
    </w:rPr>
  </w:style>
  <w:style w:type="character" w:customStyle="1" w:styleId="aff1">
    <w:name w:val="Текст Знак"/>
    <w:link w:val="aff2"/>
    <w:qFormat/>
    <w:rsid w:val="000C475B"/>
    <w:rPr>
      <w:rFonts w:ascii="Calibri" w:eastAsia="Calibri" w:hAnsi="Calibri"/>
      <w:sz w:val="22"/>
      <w:szCs w:val="21"/>
      <w:lang w:val="ru-RU" w:eastAsia="en-US" w:bidi="ar-SA"/>
    </w:rPr>
  </w:style>
  <w:style w:type="character" w:customStyle="1" w:styleId="text-highlight">
    <w:name w:val="text-highlight"/>
    <w:qFormat/>
    <w:rsid w:val="000C475B"/>
  </w:style>
  <w:style w:type="character" w:customStyle="1" w:styleId="60">
    <w:name w:val="Заголовок 6 Знак"/>
    <w:basedOn w:val="a0"/>
    <w:link w:val="6"/>
    <w:semiHidden/>
    <w:qFormat/>
    <w:rsid w:val="000C475B"/>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qFormat/>
    <w:rsid w:val="000C475B"/>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qFormat/>
    <w:rsid w:val="000C475B"/>
    <w:rPr>
      <w:b/>
    </w:rPr>
  </w:style>
  <w:style w:type="character" w:customStyle="1" w:styleId="x-phmenubutton">
    <w:name w:val="x-ph__menu__button"/>
    <w:basedOn w:val="a0"/>
    <w:qFormat/>
    <w:rsid w:val="000C475B"/>
  </w:style>
  <w:style w:type="character" w:customStyle="1" w:styleId="11">
    <w:name w:val="Неразрешенное упоминание1"/>
    <w:basedOn w:val="a0"/>
    <w:uiPriority w:val="99"/>
    <w:semiHidden/>
    <w:unhideWhenUsed/>
    <w:qFormat/>
    <w:rsid w:val="000C475B"/>
    <w:rPr>
      <w:color w:val="605E5C"/>
      <w:shd w:val="clear" w:color="auto" w:fill="E1DFDD"/>
    </w:rPr>
  </w:style>
  <w:style w:type="character" w:customStyle="1" w:styleId="markedcontent">
    <w:name w:val="markedcontent"/>
    <w:basedOn w:val="a0"/>
    <w:qFormat/>
    <w:rsid w:val="000C475B"/>
  </w:style>
  <w:style w:type="character" w:customStyle="1" w:styleId="matching-text-highlight">
    <w:name w:val="matching-text-highlight"/>
    <w:basedOn w:val="a0"/>
    <w:qFormat/>
    <w:rsid w:val="000C475B"/>
  </w:style>
  <w:style w:type="paragraph" w:customStyle="1" w:styleId="aff3">
    <w:name w:val="Заголовок"/>
    <w:basedOn w:val="a"/>
    <w:next w:val="aff4"/>
    <w:qFormat/>
    <w:rsid w:val="000C475B"/>
    <w:pPr>
      <w:keepNext/>
      <w:spacing w:before="240" w:after="120"/>
    </w:pPr>
    <w:rPr>
      <w:rFonts w:ascii="Liberation Sans" w:eastAsia="Microsoft YaHei" w:hAnsi="Liberation Sans" w:cs="Mangal"/>
      <w:sz w:val="28"/>
      <w:szCs w:val="28"/>
    </w:rPr>
  </w:style>
  <w:style w:type="paragraph" w:styleId="aff4">
    <w:name w:val="Body Text"/>
    <w:basedOn w:val="a"/>
    <w:rsid w:val="000C475B"/>
    <w:pPr>
      <w:spacing w:after="120"/>
    </w:pPr>
    <w:rPr>
      <w:lang w:eastAsia="ar-SA"/>
    </w:rPr>
  </w:style>
  <w:style w:type="paragraph" w:styleId="aff5">
    <w:name w:val="List"/>
    <w:basedOn w:val="aff4"/>
    <w:rsid w:val="000C475B"/>
    <w:rPr>
      <w:rFonts w:cs="Mangal"/>
    </w:rPr>
  </w:style>
  <w:style w:type="paragraph" w:styleId="aff6">
    <w:name w:val="caption"/>
    <w:basedOn w:val="a"/>
    <w:next w:val="a"/>
    <w:uiPriority w:val="35"/>
    <w:unhideWhenUsed/>
    <w:qFormat/>
    <w:rsid w:val="000C475B"/>
    <w:pPr>
      <w:spacing w:after="200"/>
    </w:pPr>
    <w:rPr>
      <w:i/>
      <w:iCs/>
      <w:color w:val="1F497D" w:themeColor="text2"/>
      <w:sz w:val="18"/>
      <w:szCs w:val="18"/>
    </w:rPr>
  </w:style>
  <w:style w:type="paragraph" w:styleId="aff7">
    <w:name w:val="index heading"/>
    <w:basedOn w:val="aff3"/>
    <w:rsid w:val="000C475B"/>
  </w:style>
  <w:style w:type="paragraph" w:styleId="a4">
    <w:name w:val="Title"/>
    <w:basedOn w:val="a"/>
    <w:next w:val="a"/>
    <w:link w:val="a3"/>
    <w:uiPriority w:val="10"/>
    <w:qFormat/>
    <w:rsid w:val="000C475B"/>
    <w:pPr>
      <w:spacing w:after="80"/>
      <w:contextualSpacing/>
    </w:pPr>
    <w:rPr>
      <w:rFonts w:ascii="Arial" w:eastAsia="Arial" w:hAnsi="Arial" w:cs="Arial"/>
      <w:spacing w:val="-10"/>
      <w:sz w:val="56"/>
      <w:szCs w:val="56"/>
    </w:rPr>
  </w:style>
  <w:style w:type="paragraph" w:styleId="a6">
    <w:name w:val="Subtitle"/>
    <w:basedOn w:val="a"/>
    <w:next w:val="a"/>
    <w:link w:val="a5"/>
    <w:uiPriority w:val="11"/>
    <w:qFormat/>
    <w:rsid w:val="000C475B"/>
    <w:rPr>
      <w:color w:val="595959" w:themeColor="text1" w:themeTint="A6"/>
      <w:spacing w:val="15"/>
      <w:sz w:val="28"/>
      <w:szCs w:val="28"/>
    </w:rPr>
  </w:style>
  <w:style w:type="paragraph" w:styleId="22">
    <w:name w:val="Quote"/>
    <w:basedOn w:val="a"/>
    <w:next w:val="a"/>
    <w:link w:val="21"/>
    <w:uiPriority w:val="29"/>
    <w:qFormat/>
    <w:rsid w:val="000C475B"/>
    <w:pPr>
      <w:spacing w:before="160"/>
      <w:jc w:val="center"/>
    </w:pPr>
    <w:rPr>
      <w:i/>
      <w:iCs/>
      <w:color w:val="404040" w:themeColor="text1" w:themeTint="BF"/>
    </w:rPr>
  </w:style>
  <w:style w:type="paragraph" w:styleId="a9">
    <w:name w:val="Intense Quote"/>
    <w:basedOn w:val="a"/>
    <w:next w:val="a"/>
    <w:link w:val="a8"/>
    <w:uiPriority w:val="30"/>
    <w:qFormat/>
    <w:rsid w:val="000C47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af3">
    <w:name w:val="footnote text"/>
    <w:basedOn w:val="a"/>
    <w:link w:val="af2"/>
    <w:uiPriority w:val="99"/>
    <w:semiHidden/>
    <w:unhideWhenUsed/>
    <w:rsid w:val="000C475B"/>
    <w:rPr>
      <w:sz w:val="20"/>
      <w:szCs w:val="20"/>
    </w:rPr>
  </w:style>
  <w:style w:type="paragraph" w:styleId="af7">
    <w:name w:val="endnote text"/>
    <w:basedOn w:val="a"/>
    <w:link w:val="af6"/>
    <w:uiPriority w:val="99"/>
    <w:semiHidden/>
    <w:unhideWhenUsed/>
    <w:rsid w:val="000C475B"/>
    <w:rPr>
      <w:sz w:val="20"/>
      <w:szCs w:val="20"/>
    </w:rPr>
  </w:style>
  <w:style w:type="paragraph" w:styleId="12">
    <w:name w:val="toc 1"/>
    <w:basedOn w:val="a"/>
    <w:next w:val="a"/>
    <w:uiPriority w:val="39"/>
    <w:unhideWhenUsed/>
    <w:rsid w:val="000C475B"/>
    <w:pPr>
      <w:spacing w:after="100"/>
    </w:pPr>
  </w:style>
  <w:style w:type="paragraph" w:styleId="23">
    <w:name w:val="toc 2"/>
    <w:basedOn w:val="a"/>
    <w:next w:val="a"/>
    <w:uiPriority w:val="39"/>
    <w:unhideWhenUsed/>
    <w:rsid w:val="000C475B"/>
    <w:pPr>
      <w:spacing w:after="100"/>
      <w:ind w:left="220"/>
    </w:pPr>
  </w:style>
  <w:style w:type="paragraph" w:styleId="31">
    <w:name w:val="toc 3"/>
    <w:basedOn w:val="a"/>
    <w:next w:val="a"/>
    <w:uiPriority w:val="39"/>
    <w:unhideWhenUsed/>
    <w:rsid w:val="000C475B"/>
    <w:pPr>
      <w:spacing w:after="100"/>
      <w:ind w:left="440"/>
    </w:pPr>
  </w:style>
  <w:style w:type="paragraph" w:styleId="41">
    <w:name w:val="toc 4"/>
    <w:basedOn w:val="a"/>
    <w:next w:val="a"/>
    <w:uiPriority w:val="39"/>
    <w:unhideWhenUsed/>
    <w:rsid w:val="000C475B"/>
    <w:pPr>
      <w:spacing w:after="100"/>
      <w:ind w:left="660"/>
    </w:pPr>
  </w:style>
  <w:style w:type="paragraph" w:styleId="51">
    <w:name w:val="toc 5"/>
    <w:basedOn w:val="a"/>
    <w:next w:val="a"/>
    <w:uiPriority w:val="39"/>
    <w:unhideWhenUsed/>
    <w:rsid w:val="000C475B"/>
    <w:pPr>
      <w:spacing w:after="100"/>
      <w:ind w:left="880"/>
    </w:pPr>
  </w:style>
  <w:style w:type="paragraph" w:styleId="61">
    <w:name w:val="toc 6"/>
    <w:basedOn w:val="a"/>
    <w:next w:val="a"/>
    <w:uiPriority w:val="39"/>
    <w:unhideWhenUsed/>
    <w:rsid w:val="000C475B"/>
    <w:pPr>
      <w:spacing w:after="100"/>
      <w:ind w:left="1100"/>
    </w:pPr>
  </w:style>
  <w:style w:type="paragraph" w:styleId="71">
    <w:name w:val="toc 7"/>
    <w:basedOn w:val="a"/>
    <w:next w:val="a"/>
    <w:uiPriority w:val="39"/>
    <w:unhideWhenUsed/>
    <w:rsid w:val="000C475B"/>
    <w:pPr>
      <w:spacing w:after="100"/>
      <w:ind w:left="1320"/>
    </w:pPr>
  </w:style>
  <w:style w:type="paragraph" w:styleId="81">
    <w:name w:val="toc 8"/>
    <w:basedOn w:val="a"/>
    <w:next w:val="a"/>
    <w:uiPriority w:val="39"/>
    <w:unhideWhenUsed/>
    <w:rsid w:val="000C475B"/>
    <w:pPr>
      <w:spacing w:after="100"/>
      <w:ind w:left="1540"/>
    </w:pPr>
  </w:style>
  <w:style w:type="paragraph" w:styleId="91">
    <w:name w:val="toc 9"/>
    <w:basedOn w:val="a"/>
    <w:next w:val="a"/>
    <w:uiPriority w:val="39"/>
    <w:unhideWhenUsed/>
    <w:rsid w:val="000C475B"/>
    <w:pPr>
      <w:spacing w:after="100"/>
      <w:ind w:left="1760"/>
    </w:pPr>
  </w:style>
  <w:style w:type="paragraph" w:styleId="aff8">
    <w:name w:val="TOC Heading"/>
    <w:uiPriority w:val="39"/>
    <w:unhideWhenUsed/>
    <w:qFormat/>
    <w:rsid w:val="000C475B"/>
  </w:style>
  <w:style w:type="paragraph" w:styleId="aff9">
    <w:name w:val="table of figures"/>
    <w:basedOn w:val="a"/>
    <w:next w:val="a"/>
    <w:uiPriority w:val="99"/>
    <w:unhideWhenUsed/>
    <w:rsid w:val="000C475B"/>
  </w:style>
  <w:style w:type="paragraph" w:customStyle="1" w:styleId="HeaderandFooter">
    <w:name w:val="Header and Footer"/>
    <w:basedOn w:val="a"/>
    <w:qFormat/>
    <w:rsid w:val="000C475B"/>
  </w:style>
  <w:style w:type="paragraph" w:styleId="af">
    <w:name w:val="header"/>
    <w:basedOn w:val="a"/>
    <w:link w:val="ae"/>
    <w:rsid w:val="000C475B"/>
    <w:pPr>
      <w:tabs>
        <w:tab w:val="center" w:pos="4153"/>
        <w:tab w:val="right" w:pos="8306"/>
      </w:tabs>
    </w:pPr>
    <w:rPr>
      <w:sz w:val="20"/>
      <w:szCs w:val="20"/>
    </w:rPr>
  </w:style>
  <w:style w:type="paragraph" w:styleId="af1">
    <w:name w:val="footer"/>
    <w:basedOn w:val="a"/>
    <w:link w:val="af0"/>
    <w:rsid w:val="000C475B"/>
    <w:pPr>
      <w:tabs>
        <w:tab w:val="center" w:pos="4153"/>
        <w:tab w:val="right" w:pos="8306"/>
      </w:tabs>
    </w:pPr>
    <w:rPr>
      <w:sz w:val="20"/>
      <w:szCs w:val="20"/>
    </w:rPr>
  </w:style>
  <w:style w:type="paragraph" w:styleId="affa">
    <w:name w:val="Balloon Text"/>
    <w:basedOn w:val="a"/>
    <w:semiHidden/>
    <w:qFormat/>
    <w:rsid w:val="000C475B"/>
    <w:rPr>
      <w:rFonts w:ascii="Tahoma" w:hAnsi="Tahoma" w:cs="Tahoma"/>
      <w:sz w:val="16"/>
      <w:szCs w:val="16"/>
    </w:rPr>
  </w:style>
  <w:style w:type="paragraph" w:styleId="affb">
    <w:name w:val="Normal (Web)"/>
    <w:basedOn w:val="a"/>
    <w:uiPriority w:val="99"/>
    <w:qFormat/>
    <w:rsid w:val="000C475B"/>
    <w:pPr>
      <w:spacing w:beforeAutospacing="1" w:afterAutospacing="1"/>
    </w:pPr>
  </w:style>
  <w:style w:type="paragraph" w:styleId="24">
    <w:name w:val="Body Text Indent 2"/>
    <w:basedOn w:val="a"/>
    <w:qFormat/>
    <w:rsid w:val="000C475B"/>
    <w:pPr>
      <w:ind w:firstLine="709"/>
      <w:jc w:val="both"/>
    </w:pPr>
  </w:style>
  <w:style w:type="paragraph" w:styleId="affc">
    <w:name w:val="Body Text Indent"/>
    <w:basedOn w:val="a"/>
    <w:rsid w:val="000C475B"/>
    <w:pPr>
      <w:spacing w:after="120"/>
      <w:ind w:left="283"/>
    </w:pPr>
  </w:style>
  <w:style w:type="paragraph" w:customStyle="1" w:styleId="affd">
    <w:name w:val="Знак"/>
    <w:basedOn w:val="a"/>
    <w:qFormat/>
    <w:rsid w:val="000C475B"/>
    <w:pPr>
      <w:spacing w:after="160" w:line="240" w:lineRule="exact"/>
    </w:pPr>
    <w:rPr>
      <w:rFonts w:ascii="Verdana" w:hAnsi="Verdana"/>
      <w:sz w:val="20"/>
      <w:szCs w:val="20"/>
      <w:lang w:val="en-US" w:eastAsia="en-US"/>
    </w:rPr>
  </w:style>
  <w:style w:type="paragraph" w:styleId="affe">
    <w:name w:val="Document Map"/>
    <w:basedOn w:val="a"/>
    <w:semiHidden/>
    <w:qFormat/>
    <w:rsid w:val="000C475B"/>
    <w:pPr>
      <w:shd w:val="clear" w:color="auto" w:fill="000080"/>
    </w:pPr>
    <w:rPr>
      <w:rFonts w:ascii="Tahoma" w:hAnsi="Tahoma" w:cs="Tahoma"/>
      <w:sz w:val="20"/>
      <w:szCs w:val="20"/>
    </w:rPr>
  </w:style>
  <w:style w:type="paragraph" w:customStyle="1" w:styleId="aff0">
    <w:name w:val="Текст документа"/>
    <w:basedOn w:val="affb"/>
    <w:link w:val="aff"/>
    <w:qFormat/>
    <w:rsid w:val="000C475B"/>
    <w:pPr>
      <w:jc w:val="both"/>
    </w:pPr>
    <w:rPr>
      <w:rFonts w:eastAsia="Verdana"/>
      <w:color w:val="000000"/>
      <w:szCs w:val="28"/>
    </w:rPr>
  </w:style>
  <w:style w:type="paragraph" w:styleId="aff2">
    <w:name w:val="Plain Text"/>
    <w:basedOn w:val="a"/>
    <w:link w:val="aff1"/>
    <w:unhideWhenUsed/>
    <w:qFormat/>
    <w:rsid w:val="000C475B"/>
    <w:rPr>
      <w:rFonts w:ascii="Calibri" w:eastAsia="Calibri" w:hAnsi="Calibri"/>
      <w:sz w:val="22"/>
      <w:szCs w:val="21"/>
      <w:lang w:eastAsia="en-US"/>
    </w:rPr>
  </w:style>
  <w:style w:type="paragraph" w:styleId="afff">
    <w:name w:val="List Paragraph"/>
    <w:basedOn w:val="a"/>
    <w:uiPriority w:val="34"/>
    <w:qFormat/>
    <w:rsid w:val="000C475B"/>
    <w:pPr>
      <w:spacing w:line="276" w:lineRule="auto"/>
      <w:ind w:left="720"/>
      <w:contextualSpacing/>
    </w:pPr>
    <w:rPr>
      <w:rFonts w:eastAsia="Calibri"/>
      <w:szCs w:val="22"/>
      <w:lang w:eastAsia="en-US"/>
    </w:rPr>
  </w:style>
  <w:style w:type="paragraph" w:styleId="afff0">
    <w:name w:val="No Spacing"/>
    <w:uiPriority w:val="1"/>
    <w:qFormat/>
    <w:rsid w:val="000C475B"/>
    <w:rPr>
      <w:rFonts w:ascii="Calibri" w:eastAsia="Calibri" w:hAnsi="Calibri"/>
      <w:sz w:val="22"/>
      <w:szCs w:val="22"/>
      <w:lang w:eastAsia="en-US"/>
    </w:rPr>
  </w:style>
  <w:style w:type="paragraph" w:customStyle="1" w:styleId="Standard">
    <w:name w:val="Standard"/>
    <w:qFormat/>
    <w:rsid w:val="008A090F"/>
    <w:pPr>
      <w:textAlignment w:val="baseline"/>
    </w:pPr>
    <w:rPr>
      <w:color w:val="00000A"/>
      <w:kern w:val="2"/>
      <w:sz w:val="24"/>
      <w:szCs w:val="24"/>
    </w:rPr>
  </w:style>
  <w:style w:type="paragraph" w:customStyle="1" w:styleId="mb-5">
    <w:name w:val="mb-5"/>
    <w:basedOn w:val="a"/>
    <w:qFormat/>
    <w:rsid w:val="00CB7AD8"/>
    <w:pPr>
      <w:spacing w:beforeAutospacing="1" w:afterAutospacing="1"/>
    </w:pPr>
  </w:style>
  <w:style w:type="paragraph" w:customStyle="1" w:styleId="afff1">
    <w:name w:val="Содержимое врезки"/>
    <w:basedOn w:val="a"/>
    <w:qFormat/>
    <w:rsid w:val="000C475B"/>
  </w:style>
  <w:style w:type="numbering" w:customStyle="1" w:styleId="afff2">
    <w:name w:val="Без списка"/>
    <w:uiPriority w:val="99"/>
    <w:semiHidden/>
    <w:unhideWhenUsed/>
    <w:qFormat/>
    <w:rsid w:val="000C475B"/>
  </w:style>
  <w:style w:type="table" w:customStyle="1" w:styleId="TableGridLight">
    <w:name w:val="Table Grid Light"/>
    <w:basedOn w:val="a1"/>
    <w:uiPriority w:val="59"/>
    <w:rsid w:val="000C475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C475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rsid w:val="000C475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rsid w:val="000C475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0C475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0C475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0C475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0C475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0C475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0C475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rsid w:val="000C475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0C475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rsid w:val="000C475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rsid w:val="000C475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rsid w:val="000C475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rsid w:val="000C475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rsid w:val="000C475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rsid w:val="000C475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0C475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rsid w:val="000C475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rsid w:val="000C475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rsid w:val="000C475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rsid w:val="000C475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rsid w:val="000C475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rsid w:val="000C475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0C475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rsid w:val="000C475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rsid w:val="000C475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rsid w:val="000C475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rsid w:val="000C475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rsid w:val="000C475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rsid w:val="000C47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0C47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0C47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0C47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0C47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0C47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0C475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rsid w:val="000C475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0C475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0C475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0C475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0C475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0C475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0C475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rsid w:val="000C475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0C475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0C475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0C475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0C475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0C475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0C475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rsid w:val="000C475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0C475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rsid w:val="000C475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rsid w:val="000C475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rsid w:val="000C475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rsid w:val="000C475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rsid w:val="000C475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rsid w:val="000C475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C475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C475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0C475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0C475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0C475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0C475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rsid w:val="000C475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0C475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rsid w:val="000C475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rsid w:val="000C475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rsid w:val="000C475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rsid w:val="000C475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rsid w:val="000C475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rsid w:val="000C475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0C475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0C475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0C475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0C475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0C475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0C475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rsid w:val="000C475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0C475B"/>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0C475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0C475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0C475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0C475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0C475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rsid w:val="000C475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0C475B"/>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0C475B"/>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0C475B"/>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0C475B"/>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0C475B"/>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0C475B"/>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D"/>
      </w:tcPr>
    </w:tblStylePr>
    <w:tblStylePr w:type="band1Horz">
      <w:rPr>
        <w:sz w:val="22"/>
      </w:r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sid w:val="000C475B"/>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sid w:val="000C475B"/>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D"/>
      </w:tcPr>
    </w:tblStylePr>
    <w:tblStylePr w:type="band1Horz">
      <w:rPr>
        <w:sz w:val="22"/>
      </w:r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sid w:val="000C475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sid w:val="000C475B"/>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sid w:val="000C475B"/>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sid w:val="000C475B"/>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sid w:val="000C475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sid w:val="000C475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rsid w:val="000C475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0C475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0C475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0C475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0C475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0C475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0C475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f3">
    <w:name w:val="Table Grid"/>
    <w:basedOn w:val="a1"/>
    <w:uiPriority w:val="59"/>
    <w:rsid w:val="000C475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fr.gov.ru/grazhdanam/pensionnoe_obespechenie/vyplata_pensionnyh_nakoplenij/vidy" TargetMode="External"/><Relationship Id="rId13" Type="http://schemas.openxmlformats.org/officeDocument/2006/relationships/hyperlink" Target="http://government.ru/docs/all/70704/" TargetMode="External"/><Relationship Id="rId18" Type="http://schemas.openxmlformats.org/officeDocument/2006/relationships/hyperlink" Target="https://vk.com/sfr.krasnodarskiykra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sfr.gov.ru/contacts/ks/" TargetMode="Externa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x.ru/sfr_krasnodarskiykray" TargetMode="External"/><Relationship Id="rId20" Type="http://schemas.openxmlformats.org/officeDocument/2006/relationships/hyperlink" Target="https://ok.ru/sfr.krasnodarskiykra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610364/1/form" TargetMode="External"/><Relationship Id="rId24" Type="http://schemas.openxmlformats.org/officeDocument/2006/relationships/hyperlink" Target="https://dzen.ru/sfr_krasnodarskiykra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fr.gov.ru/grazhdanam/pensionnoe_obespechenie/vyplata_pensionnyh_nakoplenij/vidy" TargetMode="Externa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hyperlink" Target="http://government.ru/docs/all/70704" TargetMode="Externa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fr.gov.ru/grazhdanam/pensionnoe_obespechenie/vyplata_pensionnyh_nakoplenij/vidy" TargetMode="External"/><Relationship Id="rId14" Type="http://schemas.openxmlformats.org/officeDocument/2006/relationships/hyperlink" Target="https://sfr.gov.ru/grazhdanam/pensionnoe_obespechenie/vyplata_pensionnyh_nakoplenij/pravopreemnikam" TargetMode="External"/><Relationship Id="rId22" Type="http://schemas.openxmlformats.org/officeDocument/2006/relationships/hyperlink" Target="https://t.me/sfr_krasnodarskiykray"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82ED5-1570-41D6-9B8C-12BC5FFD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904</Words>
  <Characters>5156</Characters>
  <Application>Microsoft Office Word</Application>
  <DocSecurity>0</DocSecurity>
  <Lines>42</Lines>
  <Paragraphs>12</Paragraphs>
  <ScaleCrop>false</ScaleCrop>
  <Company>PFR</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Обиход Владимир Анатольевич</dc:creator>
  <dc:description/>
  <cp:lastModifiedBy>1</cp:lastModifiedBy>
  <cp:revision>18</cp:revision>
  <cp:lastPrinted>2026-04-16T12:14:00Z</cp:lastPrinted>
  <dcterms:created xsi:type="dcterms:W3CDTF">2026-04-16T07:53:00Z</dcterms:created>
  <dcterms:modified xsi:type="dcterms:W3CDTF">2026-05-02T16:00:00Z</dcterms:modified>
  <dc:language>ru-RU</dc:language>
</cp:coreProperties>
</file>