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/>
          <w:b/>
          <w:b/>
        </w:rPr>
      </w:pPr>
      <w:r>
        <w:rPr>
          <w:rFonts w:ascii="Montserrat" w:hAnsi="Montserrat"/>
          <w:b/>
        </w:rPr>
        <w:t>Ветераны специальной военной операции из Краснодарского края проходят лечение в Центрах реабилитации Социального фонда России</w:t>
      </w:r>
    </w:p>
    <w:p>
      <w:pPr>
        <w:pStyle w:val="Normal"/>
        <w:spacing w:lineRule="auto" w:line="360"/>
        <w:ind w:firstLine="709"/>
        <w:jc w:val="both"/>
        <w:rPr>
          <w:rStyle w:val="Strong"/>
          <w:rFonts w:ascii="Montserrat" w:hAnsi="Montserrat"/>
          <w:b w:val="false"/>
          <w:b w:val="false"/>
        </w:rPr>
      </w:pPr>
      <w:r>
        <w:rPr>
          <w:rFonts w:ascii="Montserrat" w:hAnsi="Montserrat"/>
          <w:b w:val="false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  <w:b w:val="false"/>
          <w:b w:val="false"/>
        </w:rPr>
      </w:pPr>
      <w:r>
        <w:rPr>
          <w:rStyle w:val="Strong"/>
          <w:rFonts w:ascii="Montserrat" w:hAnsi="Montserrat"/>
          <w:b w:val="false"/>
        </w:rPr>
        <w:t xml:space="preserve">С 2025 года Отделение Социального фонда России по Краснодарскому краю </w:t>
      </w:r>
      <w:r>
        <w:rPr>
          <w:rFonts w:ascii="Montserrat" w:hAnsi="Montserrat"/>
        </w:rPr>
        <w:t xml:space="preserve">обеспечивает персональное сопровождение на протяжении всего процесса направления </w:t>
      </w:r>
      <w:r>
        <w:rPr>
          <w:rStyle w:val="Strong"/>
          <w:rFonts w:ascii="Montserrat" w:hAnsi="Montserrat"/>
          <w:b w:val="false"/>
        </w:rPr>
        <w:t xml:space="preserve">ветеранов специальной военной операции на санаторно-курортное лечение и медицинскую реабилитацию в Центры реабилитации Социального фонда России. </w:t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  <w:b w:val="false"/>
          <w:b w:val="false"/>
        </w:rPr>
      </w:pPr>
      <w:r>
        <w:rPr>
          <w:rFonts w:ascii="Montserrat" w:hAnsi="Montserrat"/>
          <w:b w:val="false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</w:rPr>
      </w:pPr>
      <w:r>
        <w:rPr>
          <w:rFonts w:cs="Segoe UI" w:ascii="Montserrat" w:hAnsi="Montserrat"/>
          <w:color w:val="000000"/>
          <w:shd w:fill="FFFFFF" w:val="clear"/>
        </w:rPr>
        <w:t xml:space="preserve">Всего в ведении Фонда находится </w:t>
      </w:r>
      <w:hyperlink r:id="rId2" w:tgtFrame="https://sfr.gov.ru/about/rehabilitation_centers/about/">
        <w:r>
          <w:rPr>
            <w:rFonts w:cs="Segoe UI" w:ascii="Montserrat" w:hAnsi="Montserrat"/>
            <w:shd w:fill="FFFFFF" w:val="clear"/>
          </w:rPr>
          <w:t>12 Центров </w:t>
        </w:r>
      </w:hyperlink>
      <w:r>
        <w:rPr>
          <w:rFonts w:cs="Segoe UI" w:ascii="Montserrat" w:hAnsi="Montserrat"/>
          <w:color w:val="000000"/>
          <w:shd w:fill="FFFFFF" w:val="clear"/>
        </w:rPr>
        <w:t>с современным оборудованием в разных регионах России. Сочетание уникальных природных условий и современных методов лечения помогают достичь отличных результатов.</w:t>
      </w:r>
    </w:p>
    <w:p>
      <w:pPr>
        <w:pStyle w:val="Normal"/>
        <w:spacing w:lineRule="auto" w:line="360"/>
        <w:ind w:firstLine="709"/>
        <w:jc w:val="both"/>
        <w:rPr>
          <w:rStyle w:val="Strong"/>
          <w:rFonts w:ascii="Montserrat" w:hAnsi="Montserrat"/>
          <w:b w:val="false"/>
          <w:b w:val="false"/>
        </w:rPr>
      </w:pPr>
      <w:r>
        <w:rPr>
          <w:rFonts w:ascii="Montserrat" w:hAnsi="Montserrat"/>
          <w:b w:val="false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 w:cs="Arial" w:cstheme="minorBidi"/>
          <w:b w:val="false"/>
          <w:b w:val="false"/>
        </w:rPr>
      </w:pPr>
      <w:r>
        <w:rPr>
          <w:rStyle w:val="Strong"/>
          <w:rFonts w:ascii="Montserrat" w:hAnsi="Montserrat"/>
          <w:b w:val="false"/>
        </w:rPr>
        <w:t>Для получения услуги необходимо иметь статус участника СВО и быть демобилизованным (уволенным).</w:t>
      </w:r>
    </w:p>
    <w:p>
      <w:pPr>
        <w:pStyle w:val="Normal"/>
        <w:spacing w:lineRule="auto" w:line="36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Длительность санаторно-курортного лечения составляет до 21 дня, а срок медицинской реабилитации определяется индивидуально, исходя из медицинских показаний. Пройти санаторно-курортное лечение можно будет один раз в течение календарного года. По прибытии в Центр реабилитации СФР демобилизованному ветерану, не проходившему ранее медицинское обследование, будет предоставлена возможность пройти диагностику состояния здоровья и получить требуемое лечение.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  <w:b w:val="false"/>
          <w:b w:val="false"/>
          <w:bCs w:val="false"/>
        </w:rPr>
      </w:pPr>
      <w:r>
        <w:rPr>
          <w:rFonts w:ascii="Montserrat" w:hAnsi="Montserrat"/>
        </w:rPr>
        <w:t>Участники СВО, удостоенные звания Героя Российской Федерации или инвалиды I группы имеют право на лечение во внеочередном порядке.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медицинской реабилитации или санаторно-курортного лечения необходимо подать заявление. Решение будет принято в течение 2 рабочих дней и в течение дня после этого заявитель получит уведомление о результате в личном кабинете на портале госуслуг или по электронной почте.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можно на портале гослуслуг, в клиентской службе Отделения СФР по Краснодарскому краю, в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также компенсирует затраты на проезд к месту лечения и обратно. Для компенсации транспортных расходов достаточно подать заявление и приложить документы, подтверждающие факт проезда, независимо от выбранного вида транспорта.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  <w:t>Отделение Фонда пенсионного и социального страхования Российской Федерации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  <w:t xml:space="preserve">Руководитель Клиентской службы (на правах отдела) в Славянском районе </w:t>
      </w:r>
      <w:r>
        <w:rPr/>
        <w:t>Л.А. Скоробогатько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6"/>
      <w:headerReference w:type="first" r:id="rId7"/>
      <w:footerReference w:type="even" r:id="rId8"/>
      <w:footerReference w:type="default" r:id="rId9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81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/>
              <w:kern w:val="0"/>
              <w:lang w:eastAsia="en-US" w:bidi="ar-SA"/>
            </w:rPr>
          </w:r>
        </w:p>
      </w:tc>
    </w:tr>
  </w:tbl>
  <w:p>
    <w:pPr>
      <w:pStyle w:val="Style24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9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81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/>
              <w:kern w:val="0"/>
              <w:lang w:eastAsia="en-US" w:bidi="ar-SA"/>
            </w:rPr>
          </w:r>
        </w:p>
      </w:tc>
    </w:tr>
  </w:tbl>
  <w:p>
    <w:pPr>
      <w:pStyle w:val="Style24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9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7">
    <w:name w:val="Интернет-ссылка"/>
    <w:uiPriority w:val="99"/>
    <w:rPr>
      <w:color w:val="0000FF"/>
      <w:u w:val="single"/>
    </w:rPr>
  </w:style>
  <w:style w:type="character" w:styleId="Style8">
    <w:name w:val="Выделение"/>
    <w:uiPriority w:val="20"/>
    <w:qFormat/>
    <w:rPr>
      <w:i/>
      <w:iCs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9">
    <w:name w:val="Посещённая гиперссылка"/>
    <w:rPr>
      <w:color w:val="800080"/>
      <w:u w:val="single"/>
    </w:rPr>
  </w:style>
  <w:style w:type="character" w:styleId="Style10" w:customStyle="1">
    <w:name w:val="Текст документа Знак"/>
    <w:qFormat/>
    <w:rPr>
      <w:rFonts w:eastAsia="Verdana"/>
      <w:color w:val="000000"/>
      <w:sz w:val="24"/>
      <w:szCs w:val="28"/>
      <w:lang w:bidi="ar-SA"/>
    </w:rPr>
  </w:style>
  <w:style w:type="character" w:styleId="Style11" w:customStyle="1">
    <w:name w:val="Текст Знак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Pr/>
  </w:style>
  <w:style w:type="character" w:styleId="61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Pr>
      <w:b/>
    </w:rPr>
  </w:style>
  <w:style w:type="character" w:styleId="Xphmenubutton" w:customStyle="1">
    <w:name w:val="x-ph__menu__button"/>
    <w:basedOn w:val="DefaultParagraphFont"/>
    <w:qFormat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texthighlight" w:customStyle="1">
    <w:name w:val="matching-text-highlight"/>
    <w:basedOn w:val="DefaultParagraphFont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before="0" w:after="120"/>
    </w:pPr>
    <w:rPr>
      <w:lang w:eastAsia="ar-SA"/>
    </w:rPr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12"/>
    <w:pPr/>
    <w:rPr/>
  </w:style>
  <w:style w:type="paragraph" w:styleId="Style22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5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Текст документа"/>
    <w:basedOn w:val="NormalWeb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about/rehabilitation_centers/about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73E8-0D87-4818-9619-334F8F36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305</Words>
  <Characters>2092</Characters>
  <CharactersWithSpaces>2391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18</cp:revision>
  <dcterms:created xsi:type="dcterms:W3CDTF">2025-04-24T06:17:00Z</dcterms:created>
  <dcterms:modified xsi:type="dcterms:W3CDTF">2025-06-26T12:42:16Z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