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7E" w:rsidRDefault="002A077E" w:rsidP="00546C2F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2A077E" w:rsidRDefault="002B1F4D" w:rsidP="00546C2F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13.05.2025</w:t>
      </w:r>
    </w:p>
    <w:p w:rsidR="002A077E" w:rsidRDefault="002A077E" w:rsidP="00546C2F">
      <w:pPr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2A077E" w:rsidRDefault="002B1F4D" w:rsidP="00546C2F">
      <w:pPr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С начала 2025 года Отделение СФР по Краснодарскому краю выплатило пенсионные накопления 10 тысячам жителей Кубани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Пенсионные накопления можно получить единовременно, в виде срочной выплаты или ежемесячной выплаты </w:t>
      </w:r>
      <w:r>
        <w:rPr>
          <w:rFonts w:ascii="Montserrat" w:hAnsi="Montserrat"/>
        </w:rPr>
        <w:t>накопительной пенсии.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При единовременной выплате все пенсионные накопления перечисляются сразу одной суммой. Единовременно могут получить граждане, у которых размер накопительной пенсии составляет 10 процентов или менее от величины прожиточного минимума п</w:t>
      </w:r>
      <w:r>
        <w:rPr>
          <w:rFonts w:ascii="Montserrat" w:hAnsi="Montserrat"/>
        </w:rPr>
        <w:t xml:space="preserve">енсионера в целом по Российской Федерации (менее 1 525 рублей). 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Срочную пенсионную выплату могут получить участники программы софинансирования пенсионных накоплений, мама или папа, направившие средства материнского капитала на накопительную пенсию. Ее пр</w:t>
      </w:r>
      <w:r>
        <w:rPr>
          <w:rFonts w:ascii="Montserrat" w:hAnsi="Montserrat"/>
        </w:rPr>
        <w:t xml:space="preserve">одолжительность определяет сам гражданин при подаче заявления, но период выплаты не может быть меньше 120 месяцев (10 лет). 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Накопительная пенсия назначается пожизненно и выплачивается ежемесячно. Чтобы рассчитать ежемесячный размер выплаты, надо общую су</w:t>
      </w:r>
      <w:r>
        <w:rPr>
          <w:rFonts w:ascii="Montserrat" w:hAnsi="Montserrat"/>
        </w:rPr>
        <w:t>мму пенсионных накоплений разделить на 270 месяцев.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Пенсионные накопления могут получить женщины в 55 лет, мужчины — в 60 лет.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пенсионные накопления формируются у женщин 1957 года рождения и моложе и у мужчин 1953 года рождения и моложе, а такж</w:t>
      </w:r>
      <w:r>
        <w:rPr>
          <w:rFonts w:ascii="Montserrat" w:hAnsi="Montserrat"/>
        </w:rPr>
        <w:t>е у участников программы государственного софинансирования пенсионных накоплений и владельцев материнского капитала, которые направили его средства на свою накопительную пенсию.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на получение средств пенсионных накоплений можно подать на госуслуг</w:t>
      </w:r>
      <w:r>
        <w:rPr>
          <w:rFonts w:ascii="Montserrat" w:hAnsi="Montserrat"/>
        </w:rPr>
        <w:t>ах, в клиентских службах Отделения Соцфонда по Краснодарскому краю или МФЦ.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Если эти средства находятся в негосударственном пенсионном фонде (НПФ), за их получением необходимо обращаться в НПФ.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Граждане могут узнать размер пенсионных накоплений, заказав </w:t>
      </w:r>
      <w:r>
        <w:rPr>
          <w:rFonts w:ascii="Montserrat" w:hAnsi="Montserrat"/>
        </w:rPr>
        <w:t xml:space="preserve">выписку из индивидуального лицевого счета на госуслугах или обратившись в клиентскую службу Отделения СФР по Краснодарскому краю. </w:t>
      </w:r>
    </w:p>
    <w:p w:rsidR="002A077E" w:rsidRDefault="002A077E" w:rsidP="00546C2F">
      <w:pPr>
        <w:jc w:val="both"/>
      </w:pPr>
    </w:p>
    <w:p w:rsidR="002A077E" w:rsidRDefault="002B1F4D" w:rsidP="00546C2F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 w:rsidR="002A077E" w:rsidRDefault="002A077E" w:rsidP="00546C2F">
      <w:pPr>
        <w:jc w:val="both"/>
        <w:rPr>
          <w:rFonts w:ascii="Montserrat" w:hAnsi="Montserrat"/>
        </w:rPr>
      </w:pPr>
    </w:p>
    <w:p w:rsidR="002A077E" w:rsidRDefault="002B1F4D" w:rsidP="00546C2F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546C2F" w:rsidRDefault="00546C2F" w:rsidP="00546C2F">
      <w:pPr>
        <w:pStyle w:val="af4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2A077E" w:rsidRDefault="002B1F4D" w:rsidP="00546C2F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077E" w:rsidRDefault="002A077E" w:rsidP="00546C2F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2A077E" w:rsidRDefault="002B1F4D" w:rsidP="00546C2F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iCs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2A077E" w:rsidRDefault="002B1F4D" w:rsidP="00546C2F">
      <w:pPr>
        <w:pStyle w:val="af4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iCs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2A077E" w:rsidSect="002A07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F4D" w:rsidRDefault="002B1F4D" w:rsidP="002A077E">
      <w:r>
        <w:separator/>
      </w:r>
    </w:p>
  </w:endnote>
  <w:endnote w:type="continuationSeparator" w:id="1">
    <w:p w:rsidR="002B1F4D" w:rsidRDefault="002B1F4D" w:rsidP="002A0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7E" w:rsidRDefault="002A077E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2A077E" w:rsidRDefault="002A077E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B1F4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B1F4D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7E" w:rsidRDefault="002A077E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7E" w:rsidRDefault="002A077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F4D" w:rsidRDefault="002B1F4D" w:rsidP="002A077E">
      <w:r>
        <w:separator/>
      </w:r>
    </w:p>
  </w:footnote>
  <w:footnote w:type="continuationSeparator" w:id="1">
    <w:p w:rsidR="002B1F4D" w:rsidRDefault="002B1F4D" w:rsidP="002A0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7E" w:rsidRDefault="002A077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2A077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2A077E" w:rsidRDefault="002B1F4D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2A077E" w:rsidRDefault="002A077E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2A077E" w:rsidRDefault="002A077E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2A077E" w:rsidRDefault="002A077E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2A077E" w:rsidRDefault="002A077E">
    <w:pPr>
      <w:pStyle w:val="af1"/>
      <w:rPr>
        <w:lang w:val="en-US"/>
      </w:rPr>
    </w:pPr>
    <w:r w:rsidRPr="002A077E">
      <w:rPr>
        <w:lang w:val="en-US"/>
      </w:rPr>
      <w:pict/>
    </w:r>
    <w:r w:rsidRPr="002A077E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2A077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2A077E" w:rsidRDefault="002B1F4D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2A077E" w:rsidRDefault="002A077E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2A077E" w:rsidRDefault="002A077E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2A077E" w:rsidRDefault="002A077E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2A077E" w:rsidRDefault="002A077E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A077E"/>
    <w:rsid w:val="002A077E"/>
    <w:rsid w:val="002B1F4D"/>
    <w:rsid w:val="0054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077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A077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A077E"/>
  </w:style>
  <w:style w:type="character" w:styleId="a4">
    <w:name w:val="Strong"/>
    <w:uiPriority w:val="22"/>
    <w:qFormat/>
    <w:rsid w:val="002A077E"/>
    <w:rPr>
      <w:b/>
      <w:bCs/>
    </w:rPr>
  </w:style>
  <w:style w:type="character" w:styleId="a5">
    <w:name w:val="Hyperlink"/>
    <w:uiPriority w:val="99"/>
    <w:rsid w:val="002A077E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2A07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2A077E"/>
    <w:rPr>
      <w:rFonts w:cs="Mangal"/>
    </w:rPr>
  </w:style>
  <w:style w:type="paragraph" w:styleId="af">
    <w:name w:val="caption"/>
    <w:basedOn w:val="a"/>
    <w:qFormat/>
    <w:rsid w:val="002A077E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2A077E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2A077E"/>
  </w:style>
  <w:style w:type="paragraph" w:styleId="af1">
    <w:name w:val="header"/>
    <w:basedOn w:val="a"/>
    <w:rsid w:val="002A077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2A077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2A077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2A077E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2A077E"/>
  </w:style>
  <w:style w:type="numbering" w:customStyle="1" w:styleId="afb">
    <w:name w:val="Без списка"/>
    <w:uiPriority w:val="99"/>
    <w:semiHidden/>
    <w:unhideWhenUsed/>
    <w:qFormat/>
    <w:rsid w:val="002A077E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1785-5CB4-43EF-8374-47EB4C8C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346</Words>
  <Characters>1977</Characters>
  <Application>Microsoft Office Word</Application>
  <DocSecurity>0</DocSecurity>
  <Lines>16</Lines>
  <Paragraphs>4</Paragraphs>
  <ScaleCrop>false</ScaleCrop>
  <Company>PFR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11</cp:revision>
  <cp:lastPrinted>2025-05-14T09:08:00Z</cp:lastPrinted>
  <dcterms:created xsi:type="dcterms:W3CDTF">2025-04-24T06:17:00Z</dcterms:created>
  <dcterms:modified xsi:type="dcterms:W3CDTF">2025-06-02T16:57:00Z</dcterms:modified>
  <dc:language>ru-RU</dc:language>
</cp:coreProperties>
</file>