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E9" w:rsidRPr="00446797" w:rsidRDefault="00AD2DE9" w:rsidP="00AD2DE9">
      <w:pPr>
        <w:widowControl w:val="0"/>
        <w:jc w:val="center"/>
        <w:rPr>
          <w:rFonts w:eastAsiaTheme="minorHAnsi"/>
          <w:b/>
          <w:sz w:val="28"/>
          <w:szCs w:val="28"/>
          <w:lang w:eastAsia="en-US"/>
        </w:rPr>
      </w:pPr>
      <w:r w:rsidRPr="00446797">
        <w:rPr>
          <w:rFonts w:eastAsiaTheme="minorHAnsi"/>
          <w:b/>
          <w:sz w:val="28"/>
          <w:szCs w:val="28"/>
          <w:lang w:eastAsia="en-US"/>
        </w:rPr>
        <w:t>Как платить добровольные взносы на пенсию</w:t>
      </w:r>
    </w:p>
    <w:p w:rsidR="00AD2DE9" w:rsidRDefault="00AD2DE9" w:rsidP="00AD2DE9">
      <w:pPr>
        <w:widowControl w:val="0"/>
        <w:jc w:val="center"/>
        <w:rPr>
          <w:rFonts w:eastAsiaTheme="minorHAnsi"/>
          <w:sz w:val="28"/>
          <w:szCs w:val="28"/>
          <w:lang w:eastAsia="en-US"/>
        </w:rPr>
      </w:pPr>
    </w:p>
    <w:p w:rsidR="00AD2DE9" w:rsidRDefault="00AD2DE9" w:rsidP="00AD2DE9">
      <w:pPr>
        <w:widowControl w:val="0"/>
        <w:jc w:val="center"/>
        <w:rPr>
          <w:rFonts w:eastAsiaTheme="minorHAnsi"/>
          <w:sz w:val="28"/>
          <w:szCs w:val="28"/>
          <w:lang w:eastAsia="en-US"/>
        </w:rPr>
      </w:pPr>
      <w:r w:rsidRPr="00AD2DE9">
        <w:rPr>
          <w:rFonts w:eastAsiaTheme="minorHAnsi"/>
          <w:sz w:val="28"/>
          <w:szCs w:val="28"/>
          <w:lang w:eastAsia="en-US"/>
        </w:rPr>
        <w:t>Уважаемые жители поселения!</w:t>
      </w:r>
    </w:p>
    <w:p w:rsidR="00446797" w:rsidRPr="00AD2DE9" w:rsidRDefault="00446797" w:rsidP="00AD2DE9">
      <w:pPr>
        <w:widowControl w:val="0"/>
        <w:jc w:val="center"/>
        <w:rPr>
          <w:rFonts w:eastAsiaTheme="minorHAnsi"/>
          <w:sz w:val="28"/>
          <w:szCs w:val="28"/>
          <w:lang w:eastAsia="en-US"/>
        </w:rPr>
      </w:pP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 xml:space="preserve">Пенсионное страхование в России носит обязательный характер и распространяется на всех работающих граждан. Взносы на пенсии, согласно его правилам, формируют и уплачивают работодатели. </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Статьей 29 Федерального закона от 15.12.2001 №167-ФЗ «Об обязательном пенсионном страховании в Российской Федерации» установлено право физических лиц добровольно вступить в правоотношения по обязательному пенсионному страхованию в целях уплаты страховых взносов в Пенсионный фонд РФ.  Существует ряд случаев, когда человек сам может делать взносы на пенсию. Например, когда он работает за границей, но хочет, чтобы пенсия в России продолжала формироваться, или чтобы формировать пенсию близкого человека, который нигде не работает.</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Взносы могут также делать те, кто работает на себя, – чтобы увеличить уже имеющиеся пенсионные права либо полностью формировать их с нуля. Последнее, в частности, относится к самозанятым, применяющим налог на профессиональный доход. По закону они не обязаны делать отчисления на пенсионное страхование, как, например, индивидуальные предприниматели или нотариусы, и формируют свою пенсию самостоятельно. В том числе за счет добровольных взносов.</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Чтобы уплачивать взносы, необходимо подать заявление в Пенсионный фонд России, зарегистрировавшись таким образом в качестве плательщика. Сделать это можно только в клиентской службе ПФР или отправив заявление по почте. Кроме того, в отличие от добровольных взносов на формирование накопительной пенсии, которые за человека может перечислять его работодатель, добровольные взносы на страховую пенсию делает только сам человек.</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Соответствующие платежи перечисляются через банк по реквизитам, сформированным с помощью электронного сервиса ПФР. Он доступен в открытой части сайта Пенсионного фонда и не требует входа в личный кабинет. Квитанция с необходимыми реквизитами также предоставляется в клиентских службах ПФР.</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Периодичность взносов человек определяет самостоятельно: можно перечислить сразу всю желаемую сумму либо делать небольшие платежи в течение определенного времени. Расчетным периодом по уплате добровольных взносов является календарный год. Минимальный и максимальный платежи при этом имеют ограничения и в том числе зависят от того, сколько времени в течение года человек был плательщиком взносов. Чем дольше этот период, тем больше пенсионных прав он позволяет сформировать.</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Пенсионные коэффициенты и стаж, приобретенные в результате уплаты добровольных взносов, учитываются 31 декабря и отражаются на лицевом счете до 1 марта года, следующего за годом уплаты. Учет взносов происходит автоматически, поэтому представлять в Пенсионный фонд документы, подтверждающие совершенные платежи, не требуется.</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Люди, которым не хватило страхового стажа или пенсионных коэффициентов для получения права на пенсию, также могут воспользоваться уплатой добровольных взносов, чтобы восполнить недостающие пенсионные права. Притом что самой распространенной причиной нехватки баллов или стажа является неофициальное трудоустройство, отказы в назначении пенсии из-за этого происходят не часто и составляют примерно 3% от всех решений, выносимых по заявлениям граждан.</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Пример уплаты добровольных взносов на пенсию</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 xml:space="preserve">15 октября 2019 года человек подал заявление в Пенсионный фонд России об уплате добровольных взносов на пенсию, перечислил 30 тыс. рублей и решил до конца года больше не </w:t>
      </w:r>
      <w:r w:rsidRPr="00AD2DE9">
        <w:rPr>
          <w:rFonts w:eastAsiaTheme="minorHAnsi"/>
          <w:lang w:eastAsia="en-US"/>
        </w:rPr>
        <w:lastRenderedPageBreak/>
        <w:t>делать новых платежей. По итогам 2019-го на его лицевом счете в Пенсионном фонде будет сформировано 21 818,18 рубля, или 1,186 пенсионного коэффициента, а также 2 месяца и 17 дней стажа:</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30 000 рублей × 16% ÷ 22% ÷ 184 000 рублей × 10 = 1,186 коэффициента.</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22% – общий тариф страховых взносов на обязательное пенсионное страхование в России.</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16% – индивидуальная часть тарифа страховых взносов на обязательное пенсионное страхование (общий тариф 22% за вычетом солидарной части тарифа 6%, из которой финансируется фиксированная выплата к страховой пенсии).</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184 000 рублей – максимальная сумма взносов, которая направляется на формирование пенсии в 2019 году по индивидуальному тарифу (1 150 000 рублей × 16%).</w:t>
      </w:r>
    </w:p>
    <w:p w:rsidR="00AD2DE9" w:rsidRPr="00AD2DE9" w:rsidRDefault="00AD2DE9" w:rsidP="00446797">
      <w:pPr>
        <w:widowControl w:val="0"/>
        <w:ind w:firstLine="567"/>
        <w:jc w:val="both"/>
        <w:rPr>
          <w:rFonts w:eastAsiaTheme="minorHAnsi"/>
          <w:lang w:eastAsia="en-US"/>
        </w:rPr>
      </w:pPr>
      <w:r w:rsidRPr="00AD2DE9">
        <w:rPr>
          <w:rFonts w:eastAsiaTheme="minorHAnsi"/>
          <w:lang w:eastAsia="en-US"/>
        </w:rPr>
        <w:t>10 – максимальное количество пенсионных коэффициентов, которое можно сформировать за год (в 2019 году максимальное количество пенсионных коэффициентов, согласно действующему переходному периоду, ограничено 9,13 балла).</w:t>
      </w:r>
    </w:p>
    <w:p w:rsidR="00AD2DE9" w:rsidRDefault="00AD2DE9" w:rsidP="00446797">
      <w:pPr>
        <w:widowControl w:val="0"/>
        <w:ind w:firstLine="567"/>
        <w:jc w:val="both"/>
        <w:rPr>
          <w:rFonts w:eastAsiaTheme="minorHAnsi"/>
          <w:lang w:eastAsia="en-US"/>
        </w:rPr>
      </w:pPr>
      <w:r w:rsidRPr="00AD2DE9">
        <w:rPr>
          <w:rFonts w:eastAsiaTheme="minorHAnsi"/>
          <w:lang w:eastAsia="en-US"/>
        </w:rPr>
        <w:t>Возможность уплаты добровольных взносов на пенсию предусмотрена ст. 29 ФЗ № 167-ФЗ от 15.12.2001 года «Об обязательном пенсионном страховании в Российской Федерации» и реализуется в соответствии с приказом Минтруда России № 462н от 31.05.2017 года.</w:t>
      </w:r>
    </w:p>
    <w:p w:rsidR="00AD2DE9" w:rsidRDefault="00AD2DE9" w:rsidP="00446797">
      <w:pPr>
        <w:widowControl w:val="0"/>
        <w:ind w:firstLine="567"/>
        <w:jc w:val="both"/>
        <w:rPr>
          <w:rFonts w:eastAsiaTheme="minorHAnsi"/>
          <w:lang w:eastAsia="en-US"/>
        </w:rPr>
      </w:pPr>
    </w:p>
    <w:p w:rsidR="00E807AA" w:rsidRPr="00AD2DE9" w:rsidRDefault="00AD2DE9" w:rsidP="00446797">
      <w:pPr>
        <w:widowControl w:val="0"/>
        <w:ind w:firstLine="567"/>
        <w:jc w:val="right"/>
        <w:rPr>
          <w:rFonts w:eastAsiaTheme="minorHAnsi"/>
          <w:lang w:eastAsia="en-US"/>
        </w:rPr>
      </w:pPr>
      <w:r w:rsidRPr="00AD2DE9">
        <w:rPr>
          <w:rFonts w:eastAsiaTheme="minorHAnsi"/>
          <w:lang w:eastAsia="en-US"/>
        </w:rPr>
        <w:t>Заместитель начальника УПФР Козинец Т.С., тел. 44192</w:t>
      </w:r>
    </w:p>
    <w:sectPr w:rsidR="00E807AA" w:rsidRPr="00AD2DE9" w:rsidSect="00446797">
      <w:headerReference w:type="even" r:id="rId7"/>
      <w:headerReference w:type="default" r:id="rId8"/>
      <w:footerReference w:type="even" r:id="rId9"/>
      <w:footerReference w:type="default" r:id="rId10"/>
      <w:headerReference w:type="first" r:id="rId11"/>
      <w:footerReference w:type="first" r:id="rId12"/>
      <w:pgSz w:w="11906" w:h="16838"/>
      <w:pgMar w:top="788" w:right="890" w:bottom="1576" w:left="1134" w:header="567" w:footer="567"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80C" w:rsidRDefault="009C480C" w:rsidP="00E807AA">
      <w:r>
        <w:separator/>
      </w:r>
    </w:p>
  </w:endnote>
  <w:endnote w:type="continuationSeparator" w:id="1">
    <w:p w:rsidR="009C480C" w:rsidRDefault="009C480C" w:rsidP="00E80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AA" w:rsidRDefault="006E3EF1">
    <w:pPr>
      <w:pStyle w:val="af2"/>
      <w:ind w:right="360"/>
    </w:pPr>
    <w:r>
      <w:pict>
        <v:rect id="_x0000_s2049" style="position:absolute;margin-left:-77.7pt;margin-top:.05pt;width:1.15pt;height:1.15pt;z-index:251659776;mso-wrap-distance-left:0;mso-wrap-distance-right:0;mso-position-horizontal:right;mso-position-horizontal-relative:margin">
          <v:fill opacity="0"/>
          <v:textbox inset="0,0,0,0">
            <w:txbxContent>
              <w:p w:rsidR="00E807AA" w:rsidRDefault="006E3EF1">
                <w:pPr>
                  <w:pStyle w:val="af2"/>
                  <w:rPr>
                    <w:rStyle w:val="a3"/>
                  </w:rPr>
                </w:pPr>
                <w:r>
                  <w:rPr>
                    <w:rStyle w:val="a3"/>
                  </w:rPr>
                  <w:fldChar w:fldCharType="begin"/>
                </w:r>
                <w:r w:rsidR="001F091D">
                  <w:rPr>
                    <w:rStyle w:val="a3"/>
                  </w:rPr>
                  <w:instrText xml:space="preserve"> PAGE </w:instrText>
                </w:r>
                <w:r>
                  <w:rPr>
                    <w:rStyle w:val="a3"/>
                  </w:rPr>
                  <w:fldChar w:fldCharType="separate"/>
                </w:r>
                <w:r w:rsidR="001F091D">
                  <w:rPr>
                    <w:rStyle w:val="a3"/>
                  </w:rPr>
                  <w:t>0</w:t>
                </w:r>
                <w:r>
                  <w:rPr>
                    <w:rStyle w:val="a3"/>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AA" w:rsidRDefault="00E807AA">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AA" w:rsidRDefault="00E807AA">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80C" w:rsidRDefault="009C480C" w:rsidP="00E807AA">
      <w:r>
        <w:separator/>
      </w:r>
    </w:p>
  </w:footnote>
  <w:footnote w:type="continuationSeparator" w:id="1">
    <w:p w:rsidR="009C480C" w:rsidRDefault="009C480C" w:rsidP="00E80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AA" w:rsidRDefault="00E807AA">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c"/>
      <w:tblW w:w="10342" w:type="dxa"/>
      <w:tblLayout w:type="fixed"/>
      <w:tblLook w:val="04A0"/>
    </w:tblPr>
    <w:tblGrid>
      <w:gridCol w:w="3431"/>
      <w:gridCol w:w="2205"/>
      <w:gridCol w:w="2459"/>
      <w:gridCol w:w="2247"/>
    </w:tblGrid>
    <w:tr w:rsidR="00E807AA">
      <w:tc>
        <w:tcPr>
          <w:tcW w:w="3430" w:type="dxa"/>
          <w:tcBorders>
            <w:top w:val="nil"/>
            <w:left w:val="nil"/>
            <w:bottom w:val="nil"/>
            <w:right w:val="nil"/>
          </w:tcBorders>
        </w:tcPr>
        <w:p w:rsidR="00E807AA" w:rsidRDefault="001F091D">
          <w:pPr>
            <w:pStyle w:val="af1"/>
            <w:rPr>
              <w:rFonts w:ascii="Calibri" w:eastAsia="Calibri" w:hAnsi="Calibri"/>
            </w:rPr>
          </w:pPr>
          <w:r>
            <w:rPr>
              <w:rFonts w:ascii="Calibri" w:eastAsia="Calibri" w:hAnsi="Calibri"/>
              <w:noProof/>
            </w:rPr>
            <w:drawing>
              <wp:inline distT="0" distB="0" distL="0" distR="0">
                <wp:extent cx="2040890" cy="249555"/>
                <wp:effectExtent l="0" t="0" r="0" b="0"/>
                <wp:docPr id="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205" w:type="dxa"/>
          <w:tcBorders>
            <w:top w:val="nil"/>
            <w:left w:val="nil"/>
            <w:bottom w:val="nil"/>
            <w:right w:val="nil"/>
          </w:tcBorders>
        </w:tcPr>
        <w:p w:rsidR="00E807AA" w:rsidRDefault="00E807AA">
          <w:pPr>
            <w:pStyle w:val="af1"/>
            <w:rPr>
              <w:rFonts w:ascii="Montserrat" w:hAnsi="Montserrat"/>
              <w:sz w:val="16"/>
              <w:szCs w:val="16"/>
              <w:lang w:val="en-US"/>
            </w:rPr>
          </w:pPr>
        </w:p>
        <w:p w:rsidR="00E807AA" w:rsidRDefault="00E807AA">
          <w:pPr>
            <w:pStyle w:val="af1"/>
            <w:rPr>
              <w:rFonts w:ascii="Montserrat" w:hAnsi="Montserrat"/>
              <w:sz w:val="16"/>
              <w:szCs w:val="16"/>
            </w:rPr>
          </w:pPr>
        </w:p>
      </w:tc>
      <w:tc>
        <w:tcPr>
          <w:tcW w:w="2459" w:type="dxa"/>
          <w:tcBorders>
            <w:top w:val="nil"/>
            <w:left w:val="nil"/>
            <w:bottom w:val="nil"/>
            <w:right w:val="nil"/>
          </w:tcBorders>
        </w:tcPr>
        <w:p w:rsidR="00E807AA" w:rsidRDefault="00E807AA">
          <w:pPr>
            <w:pStyle w:val="af1"/>
            <w:rPr>
              <w:rFonts w:ascii="Montserrat" w:hAnsi="Montserrat" w:cs="Helv"/>
              <w:color w:val="000000"/>
              <w:sz w:val="16"/>
              <w:szCs w:val="16"/>
            </w:rPr>
          </w:pPr>
        </w:p>
      </w:tc>
      <w:tc>
        <w:tcPr>
          <w:tcW w:w="2247" w:type="dxa"/>
          <w:tcBorders>
            <w:top w:val="nil"/>
            <w:left w:val="nil"/>
            <w:bottom w:val="nil"/>
            <w:right w:val="nil"/>
          </w:tcBorders>
        </w:tcPr>
        <w:p w:rsidR="00E807AA" w:rsidRDefault="00E807AA">
          <w:pPr>
            <w:pStyle w:val="af1"/>
            <w:rPr>
              <w:rFonts w:ascii="Montserrat" w:hAnsi="Montserrat"/>
              <w:sz w:val="16"/>
              <w:szCs w:val="16"/>
            </w:rPr>
          </w:pPr>
        </w:p>
      </w:tc>
    </w:tr>
  </w:tbl>
  <w:p w:rsidR="00E807AA" w:rsidRDefault="006E3EF1">
    <w:pPr>
      <w:pStyle w:val="af1"/>
      <w:rPr>
        <w:lang w:val="en-US"/>
      </w:rPr>
    </w:pPr>
    <w:r w:rsidRPr="006E3EF1">
      <w:rPr>
        <w:lang w:val="en-US"/>
      </w:rPr>
      <w:pict>
        <v:shape id="Прямоугольник 3" o:spid="_x0000_s2052" style="position:absolute;margin-left:2.85pt;margin-top:1.5pt;width:39.95pt;height:17.85pt;z-index:251656704;mso-wrap-style:square;mso-position-horizontal-relative:page;mso-position-vertical-relative:margin;v-text-anchor:top" coordsize="" o:allowincell="f" path="m,l-127,r,-127l,-127xe" stroked="f" strokecolor="#3465a4">
          <v:fill color2="black" o:detectmouseclick="t"/>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c"/>
      <w:tblW w:w="10693" w:type="dxa"/>
      <w:tblLayout w:type="fixed"/>
      <w:tblLook w:val="04A0"/>
    </w:tblPr>
    <w:tblGrid>
      <w:gridCol w:w="3571"/>
      <w:gridCol w:w="2156"/>
      <w:gridCol w:w="2665"/>
      <w:gridCol w:w="2301"/>
    </w:tblGrid>
    <w:tr w:rsidR="00E807AA">
      <w:tc>
        <w:tcPr>
          <w:tcW w:w="3570" w:type="dxa"/>
          <w:tcBorders>
            <w:top w:val="nil"/>
            <w:left w:val="nil"/>
            <w:bottom w:val="nil"/>
            <w:right w:val="nil"/>
          </w:tcBorders>
        </w:tcPr>
        <w:p w:rsidR="00E807AA" w:rsidRDefault="001F091D">
          <w:pPr>
            <w:pStyle w:val="af1"/>
            <w:rPr>
              <w:rFonts w:ascii="Calibri" w:eastAsia="Calibri" w:hAnsi="Calibri"/>
            </w:rPr>
          </w:pPr>
          <w:r>
            <w:rPr>
              <w:rFonts w:ascii="Calibri" w:eastAsia="Calibri" w:hAnsi="Calibri"/>
              <w:noProof/>
            </w:rPr>
            <w:drawing>
              <wp:inline distT="0" distB="0" distL="0" distR="0">
                <wp:extent cx="1569720" cy="450850"/>
                <wp:effectExtent l="0" t="0" r="0" b="0"/>
                <wp:docPr id="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156" w:type="dxa"/>
          <w:tcBorders>
            <w:top w:val="nil"/>
            <w:left w:val="nil"/>
            <w:bottom w:val="nil"/>
            <w:right w:val="nil"/>
          </w:tcBorders>
        </w:tcPr>
        <w:p w:rsidR="00E807AA" w:rsidRDefault="00E807AA">
          <w:pPr>
            <w:pStyle w:val="af1"/>
            <w:rPr>
              <w:rFonts w:ascii="Montserrat" w:hAnsi="Montserrat"/>
              <w:sz w:val="16"/>
              <w:szCs w:val="16"/>
              <w:lang w:val="en-US"/>
            </w:rPr>
          </w:pPr>
        </w:p>
      </w:tc>
      <w:tc>
        <w:tcPr>
          <w:tcW w:w="2665" w:type="dxa"/>
          <w:tcBorders>
            <w:top w:val="nil"/>
            <w:left w:val="nil"/>
            <w:bottom w:val="nil"/>
            <w:right w:val="nil"/>
          </w:tcBorders>
        </w:tcPr>
        <w:p w:rsidR="00E807AA" w:rsidRDefault="00E807AA">
          <w:pPr>
            <w:pStyle w:val="af1"/>
            <w:rPr>
              <w:rFonts w:ascii="Montserrat" w:hAnsi="Montserrat" w:cs="Helv"/>
              <w:color w:val="000000"/>
              <w:sz w:val="16"/>
              <w:szCs w:val="16"/>
            </w:rPr>
          </w:pPr>
        </w:p>
      </w:tc>
      <w:tc>
        <w:tcPr>
          <w:tcW w:w="2301" w:type="dxa"/>
          <w:tcBorders>
            <w:top w:val="nil"/>
            <w:left w:val="nil"/>
            <w:bottom w:val="nil"/>
            <w:right w:val="nil"/>
          </w:tcBorders>
        </w:tcPr>
        <w:p w:rsidR="00E807AA" w:rsidRDefault="00E807AA">
          <w:pPr>
            <w:pStyle w:val="af1"/>
            <w:rPr>
              <w:rFonts w:ascii="Montserrat" w:hAnsi="Montserrat"/>
              <w:bCs/>
              <w:iCs/>
              <w:sz w:val="16"/>
              <w:szCs w:val="16"/>
            </w:rPr>
          </w:pPr>
        </w:p>
      </w:tc>
    </w:tr>
  </w:tbl>
  <w:p w:rsidR="00E807AA" w:rsidRDefault="006E3EF1">
    <w:pPr>
      <w:pStyle w:val="af1"/>
    </w:pPr>
    <w:r>
      <w:pict>
        <v:shape id="_x0000_s2050" style="position:absolute;margin-left:4.6pt;margin-top:3.95pt;width:39.95pt;height:17.85pt;z-index:251658752;mso-wrap-style:square;mso-position-horizontal-relative:page;mso-position-vertical-relative:margin;v-text-anchor:top" coordsize="" o:allowincell="f" path="m,l-127,r,-127l,-127xe" stroked="f" strokecolor="#3465a4">
          <v:fill color2="black" o:detectmouseclick="t"/>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hyphenationZone w:val="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E807AA"/>
    <w:rsid w:val="001F091D"/>
    <w:rsid w:val="00446797"/>
    <w:rsid w:val="006E3EF1"/>
    <w:rsid w:val="009C480C"/>
    <w:rsid w:val="00AD2DE9"/>
    <w:rsid w:val="00D87119"/>
    <w:rsid w:val="00E807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link w:val="10"/>
    <w:qFormat/>
    <w:rsid w:val="00E807AA"/>
    <w:pPr>
      <w:keepNext/>
      <w:outlineLvl w:val="0"/>
    </w:pPr>
    <w:rPr>
      <w:b/>
      <w:sz w:val="20"/>
      <w:szCs w:val="20"/>
    </w:rPr>
  </w:style>
  <w:style w:type="paragraph" w:styleId="2">
    <w:name w:val="heading 2"/>
    <w:basedOn w:val="a"/>
    <w:next w:val="a"/>
    <w:qFormat/>
    <w:rsid w:val="00E807AA"/>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807AA"/>
  </w:style>
  <w:style w:type="character" w:styleId="a4">
    <w:name w:val="Strong"/>
    <w:uiPriority w:val="22"/>
    <w:qFormat/>
    <w:rsid w:val="00E807AA"/>
    <w:rPr>
      <w:b/>
      <w:bCs/>
    </w:rPr>
  </w:style>
  <w:style w:type="character" w:styleId="a5">
    <w:name w:val="Hyperlink"/>
    <w:uiPriority w:val="99"/>
    <w:rsid w:val="00E807AA"/>
    <w:rPr>
      <w:color w:val="0000FF"/>
      <w:u w:val="single"/>
    </w:rPr>
  </w:style>
  <w:style w:type="character" w:styleId="a6">
    <w:name w:val="Emphasis"/>
    <w:uiPriority w:val="20"/>
    <w:qFormat/>
    <w:rsid w:val="00AA24FF"/>
    <w:rPr>
      <w:i/>
      <w:iCs/>
    </w:rPr>
  </w:style>
  <w:style w:type="character" w:customStyle="1" w:styleId="apple-style-span">
    <w:name w:val="apple-style-span"/>
    <w:basedOn w:val="a0"/>
    <w:qFormat/>
    <w:rsid w:val="00611C07"/>
  </w:style>
  <w:style w:type="character" w:customStyle="1" w:styleId="apple-converted-space">
    <w:name w:val="apple-converted-space"/>
    <w:basedOn w:val="a0"/>
    <w:qFormat/>
    <w:rsid w:val="005603F8"/>
  </w:style>
  <w:style w:type="character" w:styleId="a7">
    <w:name w:val="FollowedHyperlink"/>
    <w:rsid w:val="00511170"/>
    <w:rPr>
      <w:color w:val="800080"/>
      <w:u w:val="single"/>
    </w:rPr>
  </w:style>
  <w:style w:type="character" w:customStyle="1" w:styleId="a8">
    <w:name w:val="Текст документа Знак"/>
    <w:link w:val="a9"/>
    <w:qFormat/>
    <w:rsid w:val="00C64FAF"/>
    <w:rPr>
      <w:rFonts w:eastAsia="Verdana"/>
      <w:color w:val="000000"/>
      <w:sz w:val="24"/>
      <w:szCs w:val="28"/>
      <w:lang w:bidi="ar-SA"/>
    </w:rPr>
  </w:style>
  <w:style w:type="character" w:customStyle="1" w:styleId="aa">
    <w:name w:val="Текст Знак"/>
    <w:link w:val="ab"/>
    <w:qFormat/>
    <w:rsid w:val="00D82078"/>
    <w:rPr>
      <w:rFonts w:ascii="Calibri" w:eastAsia="Calibri" w:hAnsi="Calibri"/>
      <w:sz w:val="22"/>
      <w:szCs w:val="21"/>
      <w:lang w:val="ru-RU" w:eastAsia="en-US" w:bidi="ar-SA"/>
    </w:rPr>
  </w:style>
  <w:style w:type="character" w:customStyle="1" w:styleId="text-highlight">
    <w:name w:val="text-highlight"/>
    <w:qFormat/>
    <w:rsid w:val="00F7297A"/>
  </w:style>
  <w:style w:type="character" w:customStyle="1" w:styleId="60">
    <w:name w:val="Заголовок 6 Знак"/>
    <w:basedOn w:val="a0"/>
    <w:link w:val="6"/>
    <w:semiHidden/>
    <w:qFormat/>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qFormat/>
    <w:rsid w:val="00EE5445"/>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qFormat/>
    <w:rsid w:val="00851101"/>
    <w:rPr>
      <w:b/>
    </w:rPr>
  </w:style>
  <w:style w:type="character" w:customStyle="1" w:styleId="x-phmenubutton">
    <w:name w:val="x-ph__menu__button"/>
    <w:basedOn w:val="a0"/>
    <w:qFormat/>
    <w:rsid w:val="003A5191"/>
  </w:style>
  <w:style w:type="character" w:customStyle="1" w:styleId="11">
    <w:name w:val="Неразрешенное упоминание1"/>
    <w:basedOn w:val="a0"/>
    <w:uiPriority w:val="99"/>
    <w:semiHidden/>
    <w:unhideWhenUsed/>
    <w:qFormat/>
    <w:rsid w:val="00DB3DA6"/>
    <w:rPr>
      <w:color w:val="605E5C"/>
      <w:shd w:val="clear" w:color="auto" w:fill="E1DFDD"/>
    </w:rPr>
  </w:style>
  <w:style w:type="character" w:customStyle="1" w:styleId="markedcontent">
    <w:name w:val="markedcontent"/>
    <w:basedOn w:val="a0"/>
    <w:qFormat/>
    <w:rsid w:val="0026253E"/>
  </w:style>
  <w:style w:type="character" w:customStyle="1" w:styleId="matching-text-highlight">
    <w:name w:val="matching-text-highlight"/>
    <w:basedOn w:val="a0"/>
    <w:qFormat/>
    <w:rsid w:val="009776E8"/>
  </w:style>
  <w:style w:type="paragraph" w:customStyle="1" w:styleId="ac">
    <w:name w:val="Заголовок"/>
    <w:basedOn w:val="a"/>
    <w:next w:val="ad"/>
    <w:qFormat/>
    <w:rsid w:val="00E807AA"/>
    <w:pPr>
      <w:keepNext/>
      <w:spacing w:before="240" w:after="120"/>
    </w:pPr>
    <w:rPr>
      <w:rFonts w:ascii="Liberation Sans" w:eastAsia="Microsoft YaHei" w:hAnsi="Liberation Sans" w:cs="Mangal"/>
      <w:sz w:val="28"/>
      <w:szCs w:val="28"/>
    </w:rPr>
  </w:style>
  <w:style w:type="paragraph" w:styleId="ad">
    <w:name w:val="Body Text"/>
    <w:basedOn w:val="a"/>
    <w:rsid w:val="00015B35"/>
    <w:pPr>
      <w:spacing w:after="120"/>
    </w:pPr>
    <w:rPr>
      <w:lang w:eastAsia="ar-SA"/>
    </w:rPr>
  </w:style>
  <w:style w:type="paragraph" w:styleId="ae">
    <w:name w:val="List"/>
    <w:basedOn w:val="ad"/>
    <w:rsid w:val="00E807AA"/>
    <w:rPr>
      <w:rFonts w:cs="Mangal"/>
    </w:rPr>
  </w:style>
  <w:style w:type="paragraph" w:styleId="af">
    <w:name w:val="caption"/>
    <w:basedOn w:val="a"/>
    <w:qFormat/>
    <w:rsid w:val="00E807AA"/>
    <w:pPr>
      <w:suppressLineNumbers/>
      <w:spacing w:before="120" w:after="120"/>
    </w:pPr>
    <w:rPr>
      <w:rFonts w:cs="Mangal"/>
      <w:i/>
      <w:iCs/>
    </w:rPr>
  </w:style>
  <w:style w:type="paragraph" w:styleId="af0">
    <w:name w:val="index heading"/>
    <w:basedOn w:val="a"/>
    <w:qFormat/>
    <w:rsid w:val="00E807AA"/>
    <w:pPr>
      <w:suppressLineNumbers/>
    </w:pPr>
    <w:rPr>
      <w:rFonts w:cs="Mangal"/>
    </w:rPr>
  </w:style>
  <w:style w:type="paragraph" w:customStyle="1" w:styleId="HeaderandFooter">
    <w:name w:val="Header and Footer"/>
    <w:basedOn w:val="a"/>
    <w:qFormat/>
    <w:rsid w:val="00E807AA"/>
  </w:style>
  <w:style w:type="paragraph" w:styleId="af1">
    <w:name w:val="header"/>
    <w:basedOn w:val="a"/>
    <w:rsid w:val="00E807AA"/>
    <w:pPr>
      <w:tabs>
        <w:tab w:val="center" w:pos="4153"/>
        <w:tab w:val="right" w:pos="8306"/>
      </w:tabs>
    </w:pPr>
    <w:rPr>
      <w:sz w:val="20"/>
      <w:szCs w:val="20"/>
    </w:rPr>
  </w:style>
  <w:style w:type="paragraph" w:styleId="af2">
    <w:name w:val="footer"/>
    <w:basedOn w:val="a"/>
    <w:rsid w:val="00E807AA"/>
    <w:pPr>
      <w:tabs>
        <w:tab w:val="center" w:pos="4153"/>
        <w:tab w:val="right" w:pos="8306"/>
      </w:tabs>
    </w:pPr>
    <w:rPr>
      <w:sz w:val="20"/>
      <w:szCs w:val="20"/>
    </w:rPr>
  </w:style>
  <w:style w:type="paragraph" w:styleId="af3">
    <w:name w:val="Balloon Text"/>
    <w:basedOn w:val="a"/>
    <w:semiHidden/>
    <w:qFormat/>
    <w:rsid w:val="00E807AA"/>
    <w:rPr>
      <w:rFonts w:ascii="Tahoma" w:hAnsi="Tahoma" w:cs="Tahoma"/>
      <w:sz w:val="16"/>
      <w:szCs w:val="16"/>
    </w:rPr>
  </w:style>
  <w:style w:type="paragraph" w:styleId="af4">
    <w:name w:val="Normal (Web)"/>
    <w:basedOn w:val="a"/>
    <w:uiPriority w:val="99"/>
    <w:qFormat/>
    <w:rsid w:val="00E807AA"/>
    <w:pPr>
      <w:spacing w:beforeAutospacing="1" w:afterAutospacing="1"/>
    </w:pPr>
  </w:style>
  <w:style w:type="paragraph" w:styleId="20">
    <w:name w:val="Body Text Indent 2"/>
    <w:basedOn w:val="a"/>
    <w:qFormat/>
    <w:rsid w:val="00783623"/>
    <w:pPr>
      <w:ind w:firstLine="709"/>
      <w:jc w:val="both"/>
    </w:pPr>
  </w:style>
  <w:style w:type="paragraph" w:styleId="af5">
    <w:name w:val="Body Text Indent"/>
    <w:basedOn w:val="a"/>
    <w:rsid w:val="00015B35"/>
    <w:pPr>
      <w:spacing w:after="120"/>
      <w:ind w:left="283"/>
    </w:pPr>
  </w:style>
  <w:style w:type="paragraph" w:customStyle="1" w:styleId="af6">
    <w:name w:val="Знак"/>
    <w:basedOn w:val="a"/>
    <w:qFormat/>
    <w:rsid w:val="00B274CA"/>
    <w:pPr>
      <w:spacing w:after="160" w:line="240" w:lineRule="exact"/>
    </w:pPr>
    <w:rPr>
      <w:rFonts w:ascii="Verdana" w:hAnsi="Verdana"/>
      <w:sz w:val="20"/>
      <w:szCs w:val="20"/>
      <w:lang w:val="en-US" w:eastAsia="en-US"/>
    </w:rPr>
  </w:style>
  <w:style w:type="paragraph" w:styleId="af7">
    <w:name w:val="Document Map"/>
    <w:basedOn w:val="a"/>
    <w:semiHidden/>
    <w:qFormat/>
    <w:rsid w:val="005433E6"/>
    <w:pPr>
      <w:shd w:val="clear" w:color="auto" w:fill="000080"/>
    </w:pPr>
    <w:rPr>
      <w:rFonts w:ascii="Tahoma" w:hAnsi="Tahoma" w:cs="Tahoma"/>
      <w:sz w:val="20"/>
      <w:szCs w:val="20"/>
    </w:rPr>
  </w:style>
  <w:style w:type="paragraph" w:customStyle="1" w:styleId="a9">
    <w:name w:val="Текст документа"/>
    <w:basedOn w:val="af4"/>
    <w:link w:val="a8"/>
    <w:autoRedefine/>
    <w:qFormat/>
    <w:rsid w:val="00C64FAF"/>
    <w:pPr>
      <w:jc w:val="both"/>
    </w:pPr>
    <w:rPr>
      <w:rFonts w:eastAsia="Verdana"/>
      <w:color w:val="000000"/>
      <w:szCs w:val="28"/>
    </w:rPr>
  </w:style>
  <w:style w:type="paragraph" w:styleId="ab">
    <w:name w:val="Plain Text"/>
    <w:basedOn w:val="a"/>
    <w:link w:val="aa"/>
    <w:unhideWhenUsed/>
    <w:qFormat/>
    <w:rsid w:val="00D82078"/>
    <w:rPr>
      <w:rFonts w:ascii="Calibri" w:eastAsia="Calibri" w:hAnsi="Calibri"/>
      <w:sz w:val="22"/>
      <w:szCs w:val="21"/>
      <w:lang w:eastAsia="en-US"/>
    </w:rPr>
  </w:style>
  <w:style w:type="paragraph" w:styleId="af8">
    <w:name w:val="List Paragraph"/>
    <w:basedOn w:val="a"/>
    <w:uiPriority w:val="34"/>
    <w:qFormat/>
    <w:rsid w:val="005837E2"/>
    <w:pPr>
      <w:spacing w:line="276" w:lineRule="auto"/>
      <w:ind w:left="720"/>
      <w:contextualSpacing/>
    </w:pPr>
    <w:rPr>
      <w:rFonts w:eastAsia="Calibri"/>
      <w:szCs w:val="22"/>
      <w:lang w:eastAsia="en-US"/>
    </w:rPr>
  </w:style>
  <w:style w:type="paragraph" w:styleId="af9">
    <w:name w:val="No Spacing"/>
    <w:uiPriority w:val="1"/>
    <w:qFormat/>
    <w:rsid w:val="00FF417B"/>
    <w:rPr>
      <w:rFonts w:ascii="Calibri" w:eastAsia="Calibri" w:hAnsi="Calibri"/>
      <w:sz w:val="22"/>
      <w:szCs w:val="22"/>
      <w:lang w:eastAsia="en-US"/>
    </w:rPr>
  </w:style>
  <w:style w:type="paragraph" w:customStyle="1" w:styleId="afa">
    <w:name w:val="Содержимое врезки"/>
    <w:basedOn w:val="a"/>
    <w:qFormat/>
    <w:rsid w:val="00E807AA"/>
  </w:style>
  <w:style w:type="numbering" w:customStyle="1" w:styleId="afb">
    <w:name w:val="Без списка"/>
    <w:uiPriority w:val="99"/>
    <w:semiHidden/>
    <w:unhideWhenUsed/>
    <w:qFormat/>
    <w:rsid w:val="00E807AA"/>
  </w:style>
  <w:style w:type="table" w:styleId="afc">
    <w:name w:val="Table Grid"/>
    <w:basedOn w:val="a1"/>
    <w:uiPriority w:val="59"/>
    <w:rsid w:val="008439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4584E-14AE-471E-9727-44B2A51A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693</Words>
  <Characters>3956</Characters>
  <Application>Microsoft Office Word</Application>
  <DocSecurity>0</DocSecurity>
  <Lines>32</Lines>
  <Paragraphs>9</Paragraphs>
  <ScaleCrop>false</ScaleCrop>
  <Company>PFR</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Обиход Владимир Анатольевич</dc:creator>
  <cp:lastModifiedBy>Пользователь Windows</cp:lastModifiedBy>
  <cp:revision>4</cp:revision>
  <cp:lastPrinted>2025-04-14T10:25:00Z</cp:lastPrinted>
  <dcterms:created xsi:type="dcterms:W3CDTF">2025-04-22T06:45:00Z</dcterms:created>
  <dcterms:modified xsi:type="dcterms:W3CDTF">2025-04-22T08:00:00Z</dcterms:modified>
  <dc:language>ru-RU</dc:language>
</cp:coreProperties>
</file>